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A1744" w14:textId="77777777" w:rsidR="006430B8" w:rsidRPr="00F24466" w:rsidRDefault="006430B8" w:rsidP="00F24466">
      <w:pPr>
        <w:pBdr>
          <w:top w:val="single" w:sz="4" w:space="1" w:color="auto"/>
          <w:bottom w:val="single" w:sz="4" w:space="1" w:color="auto"/>
        </w:pBdr>
        <w:shd w:val="clear" w:color="auto" w:fill="DEEAF6" w:themeFill="accent1" w:themeFillTint="33"/>
        <w:rPr>
          <w:b/>
          <w:sz w:val="24"/>
          <w:szCs w:val="24"/>
        </w:rPr>
      </w:pPr>
      <w:r w:rsidRPr="00F24466">
        <w:rPr>
          <w:b/>
          <w:sz w:val="24"/>
          <w:szCs w:val="24"/>
        </w:rPr>
        <w:t>012 DRŽAVNO IZBORNO POVJERENSTVO REPUBLIKE HRVATSKE</w:t>
      </w:r>
    </w:p>
    <w:p w14:paraId="5ECB9293" w14:textId="77777777" w:rsidR="006430B8" w:rsidRPr="00F24466" w:rsidRDefault="006430B8" w:rsidP="00F24466">
      <w:pPr>
        <w:pBdr>
          <w:top w:val="single" w:sz="4" w:space="1" w:color="auto"/>
          <w:bottom w:val="single" w:sz="4" w:space="1" w:color="auto"/>
        </w:pBdr>
        <w:shd w:val="clear" w:color="auto" w:fill="DEEAF6" w:themeFill="accent1" w:themeFillTint="33"/>
        <w:rPr>
          <w:b/>
          <w:sz w:val="24"/>
          <w:szCs w:val="24"/>
        </w:rPr>
      </w:pPr>
      <w:r w:rsidRPr="00F24466">
        <w:rPr>
          <w:b/>
          <w:sz w:val="24"/>
          <w:szCs w:val="24"/>
        </w:rPr>
        <w:t>01205 Državno izborno povjerenstvo Republike Hrvatske</w:t>
      </w:r>
    </w:p>
    <w:p w14:paraId="42C2E971" w14:textId="77777777" w:rsidR="006430B8" w:rsidRPr="00F24466" w:rsidRDefault="006430B8" w:rsidP="00F24466">
      <w:pPr>
        <w:pBdr>
          <w:top w:val="single" w:sz="4" w:space="1" w:color="auto"/>
          <w:bottom w:val="single" w:sz="4" w:space="1" w:color="auto"/>
        </w:pBdr>
        <w:shd w:val="clear" w:color="auto" w:fill="DEEAF6" w:themeFill="accent1" w:themeFillTint="33"/>
        <w:rPr>
          <w:b/>
          <w:sz w:val="24"/>
          <w:szCs w:val="24"/>
        </w:rPr>
      </w:pPr>
      <w:r w:rsidRPr="00F24466">
        <w:rPr>
          <w:b/>
          <w:sz w:val="24"/>
          <w:szCs w:val="24"/>
        </w:rPr>
        <w:t>RKP broj: 42434</w:t>
      </w:r>
    </w:p>
    <w:p w14:paraId="4A827E4C" w14:textId="77777777" w:rsidR="00CE4D35" w:rsidRDefault="00CE4D35" w:rsidP="00CE4D35">
      <w:pPr>
        <w:spacing w:after="0" w:line="276" w:lineRule="auto"/>
        <w:jc w:val="center"/>
        <w:rPr>
          <w:b/>
          <w:sz w:val="24"/>
          <w:szCs w:val="24"/>
        </w:rPr>
      </w:pPr>
    </w:p>
    <w:p w14:paraId="0B34192E" w14:textId="77777777" w:rsidR="00CE4D35" w:rsidRDefault="00CE4D35" w:rsidP="00CE4D35">
      <w:pPr>
        <w:spacing w:after="0" w:line="276" w:lineRule="auto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</w:rPr>
        <w:t xml:space="preserve">OBRAZLOŽENJE OPĆEG DIJELA IZVJEŠTAJA O IZVRŠENJU </w:t>
      </w:r>
    </w:p>
    <w:p w14:paraId="68B6BEF1" w14:textId="09604C27" w:rsidR="00CE4D35" w:rsidRDefault="00CE4D35" w:rsidP="00CE4D35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FINANCIJSKOG PLANA ZA 202</w:t>
      </w:r>
      <w:r w:rsidR="004C2F1B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</w:p>
    <w:p w14:paraId="4E5623AC" w14:textId="77777777" w:rsidR="004C2F1B" w:rsidRDefault="004C2F1B" w:rsidP="00CE4D35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45C81D76" w14:textId="303E76C0" w:rsidR="006430B8" w:rsidRPr="00123BA1" w:rsidRDefault="0020610B" w:rsidP="006430B8">
      <w:pPr>
        <w:rPr>
          <w:sz w:val="24"/>
          <w:szCs w:val="24"/>
        </w:rPr>
      </w:pPr>
      <w:r>
        <w:rPr>
          <w:sz w:val="24"/>
          <w:szCs w:val="24"/>
        </w:rPr>
        <w:t xml:space="preserve">Sukladno Zakonu o proračunu </w:t>
      </w:r>
      <w:r>
        <w:rPr>
          <w:color w:val="000000"/>
          <w:sz w:val="24"/>
        </w:rPr>
        <w:t>(„Narodne novine“,</w:t>
      </w:r>
      <w:r w:rsidR="005423D0">
        <w:rPr>
          <w:sz w:val="24"/>
          <w:szCs w:val="24"/>
        </w:rPr>
        <w:t xml:space="preserve"> broj 144/21</w:t>
      </w:r>
      <w:r w:rsidR="006430B8">
        <w:rPr>
          <w:sz w:val="24"/>
          <w:szCs w:val="24"/>
        </w:rPr>
        <w:t>) i Pravilniku o polugodišnjem i godišnjem izvještaju o izvršenju p</w:t>
      </w:r>
      <w:r>
        <w:rPr>
          <w:sz w:val="24"/>
          <w:szCs w:val="24"/>
        </w:rPr>
        <w:t>roračun</w:t>
      </w:r>
      <w:r w:rsidR="006C5D7C">
        <w:rPr>
          <w:sz w:val="24"/>
          <w:szCs w:val="24"/>
        </w:rPr>
        <w:t xml:space="preserve">a i financijskog plana </w:t>
      </w:r>
      <w:r w:rsidR="006C5D7C">
        <w:rPr>
          <w:color w:val="000000"/>
          <w:sz w:val="24"/>
        </w:rPr>
        <w:t>(„Narodne novine“</w:t>
      </w:r>
      <w:r w:rsidR="006430B8">
        <w:rPr>
          <w:sz w:val="24"/>
          <w:szCs w:val="24"/>
        </w:rPr>
        <w:t xml:space="preserve">, broj 85/23), </w:t>
      </w:r>
      <w:r w:rsidR="006430B8" w:rsidRPr="00855AD5">
        <w:rPr>
          <w:sz w:val="24"/>
          <w:szCs w:val="24"/>
        </w:rPr>
        <w:t>proračunski korisnici dužni su izraditi i dostaviti obrazloženje općeg dijela</w:t>
      </w:r>
      <w:r w:rsidR="006430B8">
        <w:rPr>
          <w:sz w:val="24"/>
          <w:szCs w:val="24"/>
        </w:rPr>
        <w:t xml:space="preserve"> izvještaja o izvršenju</w:t>
      </w:r>
      <w:r w:rsidR="006430B8" w:rsidRPr="00855AD5">
        <w:rPr>
          <w:sz w:val="24"/>
          <w:szCs w:val="24"/>
        </w:rPr>
        <w:t xml:space="preserve"> financijskog plana. </w:t>
      </w:r>
      <w:r w:rsidR="006C5D7C">
        <w:rPr>
          <w:sz w:val="24"/>
          <w:szCs w:val="24"/>
        </w:rPr>
        <w:t>Obrazloženje općeg dijela izvještaja o izvršenju</w:t>
      </w:r>
      <w:r w:rsidR="006430B8">
        <w:rPr>
          <w:sz w:val="24"/>
          <w:szCs w:val="24"/>
        </w:rPr>
        <w:t xml:space="preserve"> financijskog plana proračunskog korisnika</w:t>
      </w:r>
      <w:r w:rsidR="006430B8" w:rsidRPr="00855AD5">
        <w:rPr>
          <w:sz w:val="24"/>
          <w:szCs w:val="24"/>
        </w:rPr>
        <w:t xml:space="preserve"> </w:t>
      </w:r>
      <w:r w:rsidR="006430B8">
        <w:rPr>
          <w:sz w:val="24"/>
          <w:szCs w:val="24"/>
        </w:rPr>
        <w:t xml:space="preserve">daje se </w:t>
      </w:r>
      <w:r w:rsidR="006430B8" w:rsidRPr="00855AD5">
        <w:rPr>
          <w:sz w:val="24"/>
          <w:szCs w:val="24"/>
        </w:rPr>
        <w:t xml:space="preserve">kroz obrazloženje </w:t>
      </w:r>
      <w:r w:rsidR="006430B8">
        <w:rPr>
          <w:sz w:val="24"/>
          <w:szCs w:val="24"/>
        </w:rPr>
        <w:t>ostvaren</w:t>
      </w:r>
      <w:r w:rsidR="006C5D7C">
        <w:rPr>
          <w:sz w:val="24"/>
          <w:szCs w:val="24"/>
        </w:rPr>
        <w:t>ja</w:t>
      </w:r>
      <w:r w:rsidR="006430B8">
        <w:rPr>
          <w:sz w:val="24"/>
          <w:szCs w:val="24"/>
        </w:rPr>
        <w:t xml:space="preserve"> </w:t>
      </w:r>
      <w:r w:rsidR="006430B8" w:rsidRPr="00855AD5">
        <w:rPr>
          <w:sz w:val="24"/>
          <w:szCs w:val="24"/>
        </w:rPr>
        <w:t>prihod</w:t>
      </w:r>
      <w:r w:rsidR="006C5D7C">
        <w:rPr>
          <w:sz w:val="24"/>
          <w:szCs w:val="24"/>
        </w:rPr>
        <w:t>a i rashoda, primitaka i izdataka</w:t>
      </w:r>
      <w:r w:rsidR="006430B8">
        <w:rPr>
          <w:sz w:val="24"/>
          <w:szCs w:val="24"/>
        </w:rPr>
        <w:t xml:space="preserve"> te </w:t>
      </w:r>
      <w:r w:rsidR="006430B8" w:rsidRPr="00855AD5">
        <w:rPr>
          <w:sz w:val="24"/>
          <w:szCs w:val="24"/>
        </w:rPr>
        <w:t xml:space="preserve">prijenosa sredstava iz prethodne i </w:t>
      </w:r>
      <w:r w:rsidR="006C5D7C">
        <w:rPr>
          <w:sz w:val="24"/>
          <w:szCs w:val="24"/>
        </w:rPr>
        <w:t xml:space="preserve">prijenos sredstava </w:t>
      </w:r>
      <w:r w:rsidR="006430B8" w:rsidRPr="00855AD5">
        <w:rPr>
          <w:sz w:val="24"/>
          <w:szCs w:val="24"/>
        </w:rPr>
        <w:t>u sljedeću go</w:t>
      </w:r>
      <w:r w:rsidR="006430B8">
        <w:rPr>
          <w:sz w:val="24"/>
          <w:szCs w:val="24"/>
        </w:rPr>
        <w:t>dinu, u slučaju da isto postoji.</w:t>
      </w:r>
    </w:p>
    <w:p w14:paraId="04A74F59" w14:textId="1525E369" w:rsidR="00B03C42" w:rsidRDefault="006430B8" w:rsidP="006430B8">
      <w:pPr>
        <w:rPr>
          <w:sz w:val="24"/>
          <w:szCs w:val="24"/>
        </w:rPr>
      </w:pPr>
      <w:r w:rsidRPr="00855AD5">
        <w:rPr>
          <w:sz w:val="24"/>
          <w:szCs w:val="24"/>
        </w:rPr>
        <w:t>Državno izborno povjerenstvo Republike Hrvatske (dalje: Državno izborno povjerenstvo) je stalno i neovisno državno tijelo koje obavlja poslove iz svog djelokruga u skladu sa Zakonom o Državnom izbornom povjerenstvu Republike Hrvatske te zakonima kojima je regulirana provedba izbora u Republici Hrvatskoj, kao i provedba državnog, lokalnog i savjetodavnog referenduma.</w:t>
      </w:r>
      <w:r w:rsidR="00B03C42">
        <w:rPr>
          <w:sz w:val="24"/>
          <w:szCs w:val="24"/>
        </w:rPr>
        <w:t xml:space="preserve"> Nadležnost Državnog izbornog povjerenstva u provedbi nadzora financ</w:t>
      </w:r>
      <w:r w:rsidR="00714D07">
        <w:rPr>
          <w:sz w:val="24"/>
          <w:szCs w:val="24"/>
        </w:rPr>
        <w:t>iranja političkih aktivnosti, i</w:t>
      </w:r>
      <w:r w:rsidR="00B03C42">
        <w:rPr>
          <w:sz w:val="24"/>
          <w:szCs w:val="24"/>
        </w:rPr>
        <w:t xml:space="preserve">zborne promidžbe i referenduma propisana je Zakonom o financiranju političkih aktivnosti, izborne promidžbe i referenduma. </w:t>
      </w:r>
    </w:p>
    <w:p w14:paraId="25425D98" w14:textId="77777777" w:rsidR="006430B8" w:rsidRPr="005B7615" w:rsidRDefault="006430B8" w:rsidP="006430B8">
      <w:pPr>
        <w:rPr>
          <w:sz w:val="24"/>
          <w:szCs w:val="24"/>
        </w:rPr>
      </w:pPr>
      <w:r w:rsidRPr="005B7615">
        <w:rPr>
          <w:sz w:val="24"/>
          <w:szCs w:val="24"/>
        </w:rPr>
        <w:t>Nadležnost Državnog izbornog povjerenstva dijeli se na: nadležnost Državnog izbornog povjerenstva koja se odnosi na provedbu izbora i referenduma; nadležnost Državnog izbornog povjerenstva koja se odnosi na provedbu nadzora financiranja političkih aktivnosti, izborne promidžbe i referenduma i na ostale nadležnosti Državnog izbornog povjerenstva propisane člankom 11. st. 2. Zakona o Državnom izbornom povjerenstvu Republike Hrvatske.</w:t>
      </w:r>
    </w:p>
    <w:p w14:paraId="7E0D6555" w14:textId="3B9EBA4D" w:rsidR="006430B8" w:rsidRDefault="006430B8" w:rsidP="00CE4D35">
      <w:pPr>
        <w:spacing w:after="240"/>
        <w:rPr>
          <w:sz w:val="24"/>
          <w:szCs w:val="24"/>
        </w:rPr>
      </w:pPr>
      <w:r>
        <w:rPr>
          <w:sz w:val="24"/>
          <w:szCs w:val="24"/>
        </w:rPr>
        <w:t>Svi izn</w:t>
      </w:r>
      <w:r w:rsidR="006C5D7C">
        <w:rPr>
          <w:sz w:val="24"/>
          <w:szCs w:val="24"/>
        </w:rPr>
        <w:t xml:space="preserve">osi iskazani u obrazloženju općeg dijela </w:t>
      </w:r>
      <w:r>
        <w:rPr>
          <w:sz w:val="24"/>
          <w:szCs w:val="24"/>
        </w:rPr>
        <w:t xml:space="preserve">godišnjeg izvršenja financijskog plana Državnog izbornog povjerenstva iskazani su u valuti </w:t>
      </w:r>
      <w:r w:rsidR="00D6201A">
        <w:rPr>
          <w:sz w:val="24"/>
          <w:szCs w:val="24"/>
        </w:rPr>
        <w:t>euro</w:t>
      </w:r>
      <w:r>
        <w:rPr>
          <w:sz w:val="24"/>
          <w:szCs w:val="24"/>
        </w:rPr>
        <w:t>.</w:t>
      </w:r>
    </w:p>
    <w:p w14:paraId="62F57B44" w14:textId="77777777" w:rsidR="006430B8" w:rsidRPr="00400AD6" w:rsidRDefault="006430B8" w:rsidP="00CE4D35">
      <w:pPr>
        <w:rPr>
          <w:b/>
          <w:i/>
          <w:sz w:val="24"/>
          <w:szCs w:val="24"/>
        </w:rPr>
      </w:pPr>
      <w:r w:rsidRPr="00400AD6">
        <w:rPr>
          <w:b/>
          <w:i/>
          <w:sz w:val="24"/>
          <w:szCs w:val="24"/>
        </w:rPr>
        <w:t>Obrazloženje ostvarenja prihoda i rashoda, primitaka i izdataka u izvještajnom razdoblju</w:t>
      </w:r>
    </w:p>
    <w:p w14:paraId="7E86D69C" w14:textId="77777777" w:rsidR="006430B8" w:rsidRDefault="006430B8" w:rsidP="006430B8">
      <w:pPr>
        <w:spacing w:after="0"/>
        <w:rPr>
          <w:sz w:val="24"/>
          <w:szCs w:val="24"/>
        </w:rPr>
      </w:pPr>
      <w:r w:rsidRPr="00855AD5">
        <w:rPr>
          <w:sz w:val="24"/>
          <w:szCs w:val="24"/>
        </w:rPr>
        <w:t>Struktura</w:t>
      </w:r>
      <w:r>
        <w:rPr>
          <w:sz w:val="24"/>
          <w:szCs w:val="24"/>
        </w:rPr>
        <w:t xml:space="preserve"> izvršenja</w:t>
      </w:r>
      <w:r w:rsidRPr="00855AD5">
        <w:rPr>
          <w:sz w:val="24"/>
          <w:szCs w:val="24"/>
        </w:rPr>
        <w:t xml:space="preserve"> financijskog plana Državnog izbornog povjerenstva za razdoblje </w:t>
      </w:r>
      <w:r>
        <w:rPr>
          <w:sz w:val="24"/>
          <w:szCs w:val="24"/>
        </w:rPr>
        <w:t>1.1. – 3</w:t>
      </w:r>
      <w:r w:rsidR="006C5D7C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6C5D7C">
        <w:rPr>
          <w:sz w:val="24"/>
          <w:szCs w:val="24"/>
        </w:rPr>
        <w:t>12</w:t>
      </w:r>
      <w:r>
        <w:rPr>
          <w:sz w:val="24"/>
          <w:szCs w:val="24"/>
        </w:rPr>
        <w:t>.202</w:t>
      </w:r>
      <w:r w:rsidR="00016D17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855AD5">
        <w:rPr>
          <w:sz w:val="24"/>
          <w:szCs w:val="24"/>
        </w:rPr>
        <w:t xml:space="preserve"> iskazana je u tablici kako slijedi:</w:t>
      </w:r>
    </w:p>
    <w:p w14:paraId="15E428FE" w14:textId="77777777" w:rsidR="006430B8" w:rsidRDefault="006430B8" w:rsidP="006430B8">
      <w:pPr>
        <w:spacing w:after="0"/>
        <w:rPr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1560"/>
        <w:gridCol w:w="1276"/>
        <w:gridCol w:w="1453"/>
        <w:gridCol w:w="956"/>
        <w:gridCol w:w="992"/>
      </w:tblGrid>
      <w:tr w:rsidR="006430B8" w:rsidRPr="00FC4A3A" w14:paraId="429A54CA" w14:textId="77777777" w:rsidTr="005D2653">
        <w:trPr>
          <w:trHeight w:val="833"/>
        </w:trPr>
        <w:tc>
          <w:tcPr>
            <w:tcW w:w="2269" w:type="dxa"/>
            <w:shd w:val="clear" w:color="auto" w:fill="DEEAF6" w:themeFill="accent1" w:themeFillTint="33"/>
            <w:vAlign w:val="center"/>
            <w:hideMark/>
          </w:tcPr>
          <w:p w14:paraId="6D0557BC" w14:textId="77777777" w:rsidR="006430B8" w:rsidRPr="00960855" w:rsidRDefault="006430B8" w:rsidP="0020610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18"/>
                <w:szCs w:val="18"/>
                <w:lang w:val="hr-HR" w:eastAsia="hr-HR"/>
              </w:rPr>
            </w:pPr>
            <w:r w:rsidRPr="00960855">
              <w:rPr>
                <w:b/>
                <w:bCs/>
                <w:sz w:val="18"/>
                <w:szCs w:val="18"/>
                <w:lang w:val="hr-HR" w:eastAsia="hr-HR"/>
              </w:rPr>
              <w:t xml:space="preserve">PRIHODI/RASHODI 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  <w:hideMark/>
          </w:tcPr>
          <w:p w14:paraId="0103C1BC" w14:textId="5243F9C8" w:rsidR="006430B8" w:rsidRPr="00960855" w:rsidRDefault="006430B8" w:rsidP="003950D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18"/>
                <w:szCs w:val="18"/>
                <w:lang w:val="hr-HR" w:eastAsia="hr-HR"/>
              </w:rPr>
            </w:pPr>
            <w:r w:rsidRPr="00960855">
              <w:rPr>
                <w:b/>
                <w:bCs/>
                <w:sz w:val="18"/>
                <w:szCs w:val="18"/>
                <w:lang w:val="hr-HR" w:eastAsia="hr-HR"/>
              </w:rPr>
              <w:t>OSTVARENJE</w:t>
            </w:r>
            <w:r>
              <w:rPr>
                <w:b/>
                <w:bCs/>
                <w:sz w:val="18"/>
                <w:szCs w:val="18"/>
                <w:lang w:val="hr-HR" w:eastAsia="hr-HR"/>
              </w:rPr>
              <w:t xml:space="preserve"> / </w:t>
            </w:r>
            <w:r w:rsidR="006C5D7C">
              <w:rPr>
                <w:b/>
                <w:bCs/>
                <w:sz w:val="18"/>
                <w:szCs w:val="18"/>
                <w:lang w:val="hr-HR" w:eastAsia="hr-HR"/>
              </w:rPr>
              <w:t>IZVRŠENJE 1.-12</w:t>
            </w:r>
            <w:r w:rsidRPr="00960855">
              <w:rPr>
                <w:b/>
                <w:bCs/>
                <w:sz w:val="18"/>
                <w:szCs w:val="18"/>
                <w:lang w:val="hr-HR" w:eastAsia="hr-HR"/>
              </w:rPr>
              <w:t>.202</w:t>
            </w:r>
            <w:r w:rsidR="00FC4045">
              <w:rPr>
                <w:b/>
                <w:bCs/>
                <w:sz w:val="18"/>
                <w:szCs w:val="18"/>
                <w:lang w:val="hr-HR" w:eastAsia="hr-HR"/>
              </w:rPr>
              <w:t>3</w:t>
            </w:r>
            <w:r w:rsidRPr="00960855">
              <w:rPr>
                <w:b/>
                <w:bCs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  <w:hideMark/>
          </w:tcPr>
          <w:p w14:paraId="082BF549" w14:textId="638633DD" w:rsidR="006430B8" w:rsidRPr="00960855" w:rsidRDefault="006430B8" w:rsidP="0020610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18"/>
                <w:szCs w:val="18"/>
                <w:lang w:val="hr-HR" w:eastAsia="hr-HR"/>
              </w:rPr>
            </w:pPr>
            <w:r w:rsidRPr="00960855">
              <w:rPr>
                <w:b/>
                <w:bCs/>
                <w:sz w:val="18"/>
                <w:szCs w:val="18"/>
                <w:lang w:val="hr-HR" w:eastAsia="hr-HR"/>
              </w:rPr>
              <w:t>IZVORNI PLAN ILI REBALANS 202</w:t>
            </w:r>
            <w:r w:rsidR="00FC4045">
              <w:rPr>
                <w:b/>
                <w:bCs/>
                <w:sz w:val="18"/>
                <w:szCs w:val="18"/>
                <w:lang w:val="hr-HR" w:eastAsia="hr-HR"/>
              </w:rPr>
              <w:t>4</w:t>
            </w:r>
            <w:r w:rsidRPr="00960855">
              <w:rPr>
                <w:b/>
                <w:bCs/>
                <w:sz w:val="18"/>
                <w:szCs w:val="18"/>
                <w:lang w:val="hr-HR" w:eastAsia="hr-HR"/>
              </w:rPr>
              <w:t>*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  <w:hideMark/>
          </w:tcPr>
          <w:p w14:paraId="196D968A" w14:textId="3C2B3523" w:rsidR="006430B8" w:rsidRPr="00960855" w:rsidRDefault="006430B8" w:rsidP="0020610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18"/>
                <w:szCs w:val="18"/>
                <w:lang w:val="hr-HR" w:eastAsia="hr-HR"/>
              </w:rPr>
            </w:pPr>
            <w:r w:rsidRPr="00960855">
              <w:rPr>
                <w:b/>
                <w:bCs/>
                <w:sz w:val="18"/>
                <w:szCs w:val="18"/>
                <w:lang w:val="hr-HR" w:eastAsia="hr-HR"/>
              </w:rPr>
              <w:t>TEKUĆI PLAN 202</w:t>
            </w:r>
            <w:r w:rsidR="00FC4045">
              <w:rPr>
                <w:b/>
                <w:bCs/>
                <w:sz w:val="18"/>
                <w:szCs w:val="18"/>
                <w:lang w:val="hr-HR" w:eastAsia="hr-HR"/>
              </w:rPr>
              <w:t>4</w:t>
            </w:r>
            <w:r w:rsidRPr="00960855">
              <w:rPr>
                <w:b/>
                <w:bCs/>
                <w:sz w:val="18"/>
                <w:szCs w:val="18"/>
                <w:lang w:val="hr-HR" w:eastAsia="hr-HR"/>
              </w:rPr>
              <w:t>*</w:t>
            </w:r>
          </w:p>
        </w:tc>
        <w:tc>
          <w:tcPr>
            <w:tcW w:w="1453" w:type="dxa"/>
            <w:shd w:val="clear" w:color="auto" w:fill="DEEAF6" w:themeFill="accent1" w:themeFillTint="33"/>
            <w:vAlign w:val="center"/>
            <w:hideMark/>
          </w:tcPr>
          <w:p w14:paraId="1C34E0C6" w14:textId="413C8DE0" w:rsidR="006430B8" w:rsidRPr="00960855" w:rsidRDefault="006C5D7C" w:rsidP="0020610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b/>
                <w:bCs/>
                <w:sz w:val="18"/>
                <w:szCs w:val="18"/>
                <w:lang w:val="hr-HR" w:eastAsia="hr-HR"/>
              </w:rPr>
              <w:t>OSTVARENJE / IZVRŠENJE 1.-12</w:t>
            </w:r>
            <w:r w:rsidR="006430B8" w:rsidRPr="00960855">
              <w:rPr>
                <w:b/>
                <w:bCs/>
                <w:sz w:val="18"/>
                <w:szCs w:val="18"/>
                <w:lang w:val="hr-HR" w:eastAsia="hr-HR"/>
              </w:rPr>
              <w:t>.202</w:t>
            </w:r>
            <w:r w:rsidR="00FC4045">
              <w:rPr>
                <w:b/>
                <w:bCs/>
                <w:sz w:val="18"/>
                <w:szCs w:val="18"/>
                <w:lang w:val="hr-HR" w:eastAsia="hr-HR"/>
              </w:rPr>
              <w:t>4</w:t>
            </w:r>
            <w:r w:rsidR="006430B8" w:rsidRPr="00960855">
              <w:rPr>
                <w:b/>
                <w:bCs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956" w:type="dxa"/>
            <w:shd w:val="clear" w:color="auto" w:fill="DEEAF6" w:themeFill="accent1" w:themeFillTint="33"/>
            <w:vAlign w:val="center"/>
            <w:hideMark/>
          </w:tcPr>
          <w:p w14:paraId="339FC357" w14:textId="77777777" w:rsidR="006430B8" w:rsidRPr="00960855" w:rsidRDefault="006430B8" w:rsidP="0020610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18"/>
                <w:szCs w:val="18"/>
                <w:lang w:val="hr-HR" w:eastAsia="hr-HR"/>
              </w:rPr>
            </w:pPr>
            <w:r w:rsidRPr="00960855">
              <w:rPr>
                <w:b/>
                <w:bCs/>
                <w:sz w:val="18"/>
                <w:szCs w:val="18"/>
                <w:lang w:val="hr-HR" w:eastAsia="hr-HR"/>
              </w:rPr>
              <w:t>INDEKS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1315B3AB" w14:textId="77777777" w:rsidR="006430B8" w:rsidRPr="00960855" w:rsidRDefault="006430B8" w:rsidP="0020610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18"/>
                <w:szCs w:val="18"/>
                <w:lang w:val="hr-HR" w:eastAsia="hr-HR"/>
              </w:rPr>
            </w:pPr>
            <w:r w:rsidRPr="00960855">
              <w:rPr>
                <w:b/>
                <w:bCs/>
                <w:sz w:val="18"/>
                <w:szCs w:val="18"/>
                <w:lang w:val="hr-HR" w:eastAsia="hr-HR"/>
              </w:rPr>
              <w:t>INDEKS</w:t>
            </w:r>
          </w:p>
        </w:tc>
      </w:tr>
      <w:tr w:rsidR="006430B8" w:rsidRPr="00602E34" w14:paraId="712AA564" w14:textId="77777777" w:rsidTr="005D2653">
        <w:trPr>
          <w:trHeight w:hRule="exact" w:val="295"/>
        </w:trPr>
        <w:tc>
          <w:tcPr>
            <w:tcW w:w="2269" w:type="dxa"/>
            <w:shd w:val="clear" w:color="auto" w:fill="DEEAF6" w:themeFill="accent1" w:themeFillTint="33"/>
            <w:noWrap/>
            <w:vAlign w:val="center"/>
            <w:hideMark/>
          </w:tcPr>
          <w:p w14:paraId="35B3AB47" w14:textId="77777777" w:rsidR="006430B8" w:rsidRPr="00602E34" w:rsidRDefault="006430B8" w:rsidP="0020610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16"/>
                <w:szCs w:val="16"/>
                <w:lang w:val="hr-HR" w:eastAsia="hr-HR"/>
              </w:rPr>
            </w:pPr>
            <w:r w:rsidRPr="00602E34">
              <w:rPr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  <w:hideMark/>
          </w:tcPr>
          <w:p w14:paraId="48BE9583" w14:textId="77777777" w:rsidR="006430B8" w:rsidRPr="00602E34" w:rsidRDefault="006430B8" w:rsidP="0020610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16"/>
                <w:szCs w:val="16"/>
                <w:lang w:val="hr-HR" w:eastAsia="hr-HR"/>
              </w:rPr>
            </w:pPr>
            <w:r w:rsidRPr="00602E34">
              <w:rPr>
                <w:b/>
                <w:b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  <w:hideMark/>
          </w:tcPr>
          <w:p w14:paraId="527AB0CF" w14:textId="77777777" w:rsidR="006430B8" w:rsidRPr="00602E34" w:rsidRDefault="006430B8" w:rsidP="0020610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16"/>
                <w:szCs w:val="16"/>
                <w:lang w:val="hr-HR" w:eastAsia="hr-HR"/>
              </w:rPr>
            </w:pPr>
            <w:r w:rsidRPr="00602E34">
              <w:rPr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  <w:hideMark/>
          </w:tcPr>
          <w:p w14:paraId="47DDD675" w14:textId="77777777" w:rsidR="006430B8" w:rsidRPr="00602E34" w:rsidRDefault="006430B8" w:rsidP="0020610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16"/>
                <w:szCs w:val="16"/>
                <w:lang w:val="hr-HR" w:eastAsia="hr-HR"/>
              </w:rPr>
            </w:pPr>
            <w:r w:rsidRPr="00602E34">
              <w:rPr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453" w:type="dxa"/>
            <w:shd w:val="clear" w:color="auto" w:fill="DEEAF6" w:themeFill="accent1" w:themeFillTint="33"/>
            <w:vAlign w:val="center"/>
            <w:hideMark/>
          </w:tcPr>
          <w:p w14:paraId="24791781" w14:textId="77777777" w:rsidR="006430B8" w:rsidRPr="00602E34" w:rsidRDefault="006430B8" w:rsidP="0020610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16"/>
                <w:szCs w:val="16"/>
                <w:lang w:val="hr-HR" w:eastAsia="hr-HR"/>
              </w:rPr>
            </w:pPr>
            <w:r w:rsidRPr="00602E34">
              <w:rPr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956" w:type="dxa"/>
            <w:shd w:val="clear" w:color="auto" w:fill="DEEAF6" w:themeFill="accent1" w:themeFillTint="33"/>
            <w:vAlign w:val="center"/>
            <w:hideMark/>
          </w:tcPr>
          <w:p w14:paraId="548770E6" w14:textId="77777777" w:rsidR="006430B8" w:rsidRPr="00602E34" w:rsidRDefault="006430B8" w:rsidP="0020610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16"/>
                <w:szCs w:val="16"/>
                <w:lang w:val="hr-HR" w:eastAsia="hr-HR"/>
              </w:rPr>
            </w:pPr>
            <w:r w:rsidRPr="00602E34">
              <w:rPr>
                <w:b/>
                <w:bCs/>
                <w:sz w:val="16"/>
                <w:szCs w:val="16"/>
                <w:lang w:val="hr-HR" w:eastAsia="hr-HR"/>
              </w:rPr>
              <w:t>6=5/2*100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6B031ADE" w14:textId="77777777" w:rsidR="006430B8" w:rsidRPr="00602E34" w:rsidRDefault="006430B8" w:rsidP="0020610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sz w:val="16"/>
                <w:szCs w:val="16"/>
                <w:lang w:val="hr-HR" w:eastAsia="hr-HR"/>
              </w:rPr>
            </w:pPr>
            <w:r w:rsidRPr="00602E34">
              <w:rPr>
                <w:b/>
                <w:bCs/>
                <w:sz w:val="16"/>
                <w:szCs w:val="16"/>
                <w:lang w:val="hr-HR" w:eastAsia="hr-HR"/>
              </w:rPr>
              <w:t>7=5/4*100</w:t>
            </w:r>
          </w:p>
        </w:tc>
      </w:tr>
      <w:tr w:rsidR="006C5D7C" w:rsidRPr="00FC4A3A" w14:paraId="00A0A6A3" w14:textId="77777777" w:rsidTr="003950D6">
        <w:trPr>
          <w:trHeight w:val="294"/>
        </w:trPr>
        <w:tc>
          <w:tcPr>
            <w:tcW w:w="2269" w:type="dxa"/>
            <w:shd w:val="clear" w:color="DDEBF7" w:fill="DDEBF7"/>
            <w:vAlign w:val="center"/>
            <w:hideMark/>
          </w:tcPr>
          <w:p w14:paraId="0C17D927" w14:textId="77777777" w:rsidR="006C5D7C" w:rsidRPr="00960855" w:rsidRDefault="006C5D7C" w:rsidP="006C5D7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bCs/>
                <w:sz w:val="18"/>
                <w:szCs w:val="18"/>
                <w:lang w:val="hr-HR" w:eastAsia="hr-HR"/>
              </w:rPr>
            </w:pPr>
            <w:r w:rsidRPr="00960855">
              <w:rPr>
                <w:b/>
                <w:bCs/>
                <w:sz w:val="18"/>
                <w:szCs w:val="18"/>
                <w:lang w:val="hr-HR" w:eastAsia="hr-HR"/>
              </w:rPr>
              <w:t>PRIHODI UKUPNO</w:t>
            </w:r>
          </w:p>
        </w:tc>
        <w:tc>
          <w:tcPr>
            <w:tcW w:w="1559" w:type="dxa"/>
            <w:shd w:val="clear" w:color="DDEBF7" w:fill="DDEBF7"/>
            <w:vAlign w:val="center"/>
            <w:hideMark/>
          </w:tcPr>
          <w:p w14:paraId="09F26F55" w14:textId="0D4A3273" w:rsidR="006C5D7C" w:rsidRPr="006C5D7C" w:rsidRDefault="00FC4045" w:rsidP="006C5D7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b/>
                <w:bCs/>
                <w:sz w:val="18"/>
                <w:szCs w:val="18"/>
                <w:lang w:val="hr-HR" w:eastAsia="hr-HR"/>
              </w:rPr>
              <w:t>1.593.464,49</w:t>
            </w:r>
          </w:p>
        </w:tc>
        <w:tc>
          <w:tcPr>
            <w:tcW w:w="1560" w:type="dxa"/>
            <w:shd w:val="clear" w:color="DDEBF7" w:fill="DDEBF7"/>
            <w:vAlign w:val="center"/>
            <w:hideMark/>
          </w:tcPr>
          <w:p w14:paraId="34A5D244" w14:textId="2E2DBF16" w:rsidR="006C5D7C" w:rsidRPr="006C5D7C" w:rsidRDefault="00FC4045" w:rsidP="006C5D7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b/>
                <w:bCs/>
                <w:sz w:val="18"/>
                <w:szCs w:val="18"/>
                <w:lang w:val="hr-HR" w:eastAsia="hr-HR"/>
              </w:rPr>
              <w:t>32.233.650</w:t>
            </w:r>
          </w:p>
        </w:tc>
        <w:tc>
          <w:tcPr>
            <w:tcW w:w="1276" w:type="dxa"/>
            <w:shd w:val="clear" w:color="DDEBF7" w:fill="DDEBF7"/>
            <w:vAlign w:val="center"/>
            <w:hideMark/>
          </w:tcPr>
          <w:p w14:paraId="588051FE" w14:textId="58FE56F9" w:rsidR="006C5D7C" w:rsidRPr="006C5D7C" w:rsidRDefault="00FC4045" w:rsidP="006C5D7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b/>
                <w:bCs/>
                <w:sz w:val="18"/>
                <w:szCs w:val="18"/>
                <w:lang w:val="hr-HR" w:eastAsia="hr-HR"/>
              </w:rPr>
              <w:t>31.919.650</w:t>
            </w:r>
          </w:p>
        </w:tc>
        <w:tc>
          <w:tcPr>
            <w:tcW w:w="1453" w:type="dxa"/>
            <w:shd w:val="clear" w:color="DDEBF7" w:fill="DDEBF7"/>
            <w:vAlign w:val="center"/>
            <w:hideMark/>
          </w:tcPr>
          <w:p w14:paraId="4DD66E91" w14:textId="7AACB8BF" w:rsidR="006C5D7C" w:rsidRPr="006C5D7C" w:rsidRDefault="00FC4045" w:rsidP="006C5D7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b/>
                <w:bCs/>
                <w:sz w:val="18"/>
                <w:szCs w:val="18"/>
                <w:lang w:val="hr-HR" w:eastAsia="hr-HR"/>
              </w:rPr>
              <w:t>31.147.482,79</w:t>
            </w:r>
          </w:p>
        </w:tc>
        <w:tc>
          <w:tcPr>
            <w:tcW w:w="956" w:type="dxa"/>
            <w:shd w:val="clear" w:color="DDEBF7" w:fill="DDEBF7"/>
            <w:vAlign w:val="center"/>
            <w:hideMark/>
          </w:tcPr>
          <w:p w14:paraId="365C7CBB" w14:textId="05DFB9DE" w:rsidR="006C5D7C" w:rsidRPr="006C5D7C" w:rsidRDefault="00FC4045" w:rsidP="006C5D7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b/>
                <w:bCs/>
                <w:sz w:val="18"/>
                <w:szCs w:val="18"/>
                <w:lang w:val="hr-HR" w:eastAsia="hr-HR"/>
              </w:rPr>
              <w:t>1.954,70</w:t>
            </w:r>
          </w:p>
        </w:tc>
        <w:tc>
          <w:tcPr>
            <w:tcW w:w="992" w:type="dxa"/>
            <w:shd w:val="clear" w:color="DDEBF7" w:fill="DDEBF7"/>
            <w:vAlign w:val="center"/>
          </w:tcPr>
          <w:p w14:paraId="1529D36D" w14:textId="2C20353C" w:rsidR="006C5D7C" w:rsidRPr="006C5D7C" w:rsidRDefault="00FC4045" w:rsidP="006C5D7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b/>
                <w:bCs/>
                <w:sz w:val="18"/>
                <w:szCs w:val="18"/>
                <w:lang w:val="hr-HR" w:eastAsia="hr-HR"/>
              </w:rPr>
              <w:t>97,58</w:t>
            </w:r>
          </w:p>
        </w:tc>
      </w:tr>
      <w:tr w:rsidR="006430B8" w:rsidRPr="00FC4A3A" w14:paraId="5A2FD78A" w14:textId="77777777" w:rsidTr="003950D6">
        <w:trPr>
          <w:trHeight w:val="294"/>
        </w:trPr>
        <w:tc>
          <w:tcPr>
            <w:tcW w:w="2269" w:type="dxa"/>
            <w:shd w:val="clear" w:color="FFFFFF" w:fill="FFFFFF"/>
            <w:vAlign w:val="center"/>
            <w:hideMark/>
          </w:tcPr>
          <w:p w14:paraId="2E256ADF" w14:textId="77777777" w:rsidR="006430B8" w:rsidRPr="00960855" w:rsidRDefault="006430B8" w:rsidP="0020610B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hr-HR" w:eastAsia="hr-HR"/>
              </w:rPr>
            </w:pPr>
            <w:r w:rsidRPr="00960855">
              <w:rPr>
                <w:sz w:val="18"/>
                <w:szCs w:val="18"/>
                <w:lang w:val="hr-HR" w:eastAsia="hr-HR"/>
              </w:rPr>
              <w:t>6 PRIHODI POSLOVANJA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C81B491" w14:textId="2FD863C0" w:rsidR="006430B8" w:rsidRPr="00960855" w:rsidRDefault="00FC4045" w:rsidP="00FC32E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sz w:val="18"/>
                <w:szCs w:val="18"/>
                <w:lang w:val="hr-HR" w:eastAsia="hr-HR"/>
              </w:rPr>
            </w:pPr>
            <w:r>
              <w:rPr>
                <w:sz w:val="18"/>
                <w:szCs w:val="18"/>
                <w:lang w:val="hr-HR" w:eastAsia="hr-HR"/>
              </w:rPr>
              <w:t>1.593.464,49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14:paraId="46F915ED" w14:textId="4EC6D16F" w:rsidR="006430B8" w:rsidRPr="00960855" w:rsidRDefault="00FC4045" w:rsidP="0020610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sz w:val="18"/>
                <w:szCs w:val="18"/>
                <w:lang w:val="hr-HR" w:eastAsia="hr-HR"/>
              </w:rPr>
            </w:pPr>
            <w:r>
              <w:rPr>
                <w:sz w:val="18"/>
                <w:szCs w:val="18"/>
                <w:lang w:val="hr-HR" w:eastAsia="hr-HR"/>
              </w:rPr>
              <w:t>32.233.650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CCAEEE7" w14:textId="77FEC5CB" w:rsidR="006430B8" w:rsidRPr="00960855" w:rsidRDefault="00FC4045" w:rsidP="0020610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sz w:val="18"/>
                <w:szCs w:val="18"/>
                <w:lang w:val="hr-HR" w:eastAsia="hr-HR"/>
              </w:rPr>
            </w:pPr>
            <w:r>
              <w:rPr>
                <w:sz w:val="18"/>
                <w:szCs w:val="18"/>
                <w:lang w:val="hr-HR" w:eastAsia="hr-HR"/>
              </w:rPr>
              <w:t>31.919.650</w:t>
            </w:r>
          </w:p>
        </w:tc>
        <w:tc>
          <w:tcPr>
            <w:tcW w:w="1453" w:type="dxa"/>
            <w:shd w:val="clear" w:color="FFFFFF" w:fill="FFFFFF"/>
            <w:vAlign w:val="center"/>
            <w:hideMark/>
          </w:tcPr>
          <w:p w14:paraId="703BEA88" w14:textId="49C8DBF5" w:rsidR="006430B8" w:rsidRPr="00960855" w:rsidRDefault="00FC4045" w:rsidP="0020610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sz w:val="18"/>
                <w:szCs w:val="18"/>
                <w:lang w:val="hr-HR" w:eastAsia="hr-HR"/>
              </w:rPr>
            </w:pPr>
            <w:r>
              <w:rPr>
                <w:sz w:val="18"/>
                <w:szCs w:val="18"/>
                <w:lang w:val="hr-HR" w:eastAsia="hr-HR"/>
              </w:rPr>
              <w:t>31.147.482,79</w:t>
            </w:r>
          </w:p>
        </w:tc>
        <w:tc>
          <w:tcPr>
            <w:tcW w:w="956" w:type="dxa"/>
            <w:shd w:val="clear" w:color="FFFFFF" w:fill="FFFFFF"/>
            <w:vAlign w:val="center"/>
            <w:hideMark/>
          </w:tcPr>
          <w:p w14:paraId="45A162B6" w14:textId="6F73431F" w:rsidR="006430B8" w:rsidRPr="00960855" w:rsidRDefault="00FC4045" w:rsidP="0020610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sz w:val="18"/>
                <w:szCs w:val="18"/>
                <w:lang w:val="hr-HR" w:eastAsia="hr-HR"/>
              </w:rPr>
            </w:pPr>
            <w:r>
              <w:rPr>
                <w:sz w:val="18"/>
                <w:szCs w:val="18"/>
                <w:lang w:val="hr-HR" w:eastAsia="hr-HR"/>
              </w:rPr>
              <w:t>1.954,70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5B54AAF8" w14:textId="1B8DE546" w:rsidR="006430B8" w:rsidRPr="00960855" w:rsidRDefault="00FC4045" w:rsidP="0020610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sz w:val="18"/>
                <w:szCs w:val="18"/>
                <w:lang w:val="hr-HR" w:eastAsia="hr-HR"/>
              </w:rPr>
            </w:pPr>
            <w:r>
              <w:rPr>
                <w:sz w:val="18"/>
                <w:szCs w:val="18"/>
                <w:lang w:val="hr-HR" w:eastAsia="hr-HR"/>
              </w:rPr>
              <w:t>97,58</w:t>
            </w:r>
          </w:p>
        </w:tc>
      </w:tr>
      <w:tr w:rsidR="006430B8" w:rsidRPr="00FC4A3A" w14:paraId="1A16B198" w14:textId="77777777" w:rsidTr="003950D6">
        <w:trPr>
          <w:trHeight w:val="294"/>
        </w:trPr>
        <w:tc>
          <w:tcPr>
            <w:tcW w:w="2269" w:type="dxa"/>
            <w:shd w:val="clear" w:color="FFFFFF" w:fill="FFFFFF"/>
            <w:noWrap/>
            <w:vAlign w:val="center"/>
            <w:hideMark/>
          </w:tcPr>
          <w:p w14:paraId="786CB51A" w14:textId="77777777" w:rsidR="006430B8" w:rsidRPr="00960855" w:rsidRDefault="006430B8" w:rsidP="0020610B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hr-HR" w:eastAsia="hr-HR"/>
              </w:rPr>
            </w:pPr>
            <w:r w:rsidRPr="00960855">
              <w:rPr>
                <w:sz w:val="18"/>
                <w:szCs w:val="18"/>
                <w:lang w:val="hr-HR" w:eastAsia="hr-HR"/>
              </w:rPr>
              <w:t>7 PRIHODI OD PRODAJE NEFINANCIJSKE IMOVINE</w:t>
            </w:r>
          </w:p>
        </w:tc>
        <w:tc>
          <w:tcPr>
            <w:tcW w:w="1559" w:type="dxa"/>
            <w:shd w:val="clear" w:color="FFFFFF" w:fill="FFFFFF"/>
            <w:noWrap/>
            <w:vAlign w:val="center"/>
            <w:hideMark/>
          </w:tcPr>
          <w:p w14:paraId="7D6C9CD4" w14:textId="77777777" w:rsidR="006430B8" w:rsidRPr="00960855" w:rsidRDefault="006430B8" w:rsidP="0020610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sz w:val="18"/>
                <w:szCs w:val="18"/>
                <w:lang w:val="hr-HR" w:eastAsia="hr-HR"/>
              </w:rPr>
            </w:pPr>
            <w:r w:rsidRPr="00960855">
              <w:rPr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560" w:type="dxa"/>
            <w:shd w:val="clear" w:color="FFFFFF" w:fill="FFFFFF"/>
            <w:noWrap/>
            <w:vAlign w:val="center"/>
            <w:hideMark/>
          </w:tcPr>
          <w:p w14:paraId="4AC970EB" w14:textId="77777777" w:rsidR="006430B8" w:rsidRPr="00960855" w:rsidRDefault="006430B8" w:rsidP="0020610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sz w:val="18"/>
                <w:szCs w:val="18"/>
                <w:lang w:val="hr-HR" w:eastAsia="hr-HR"/>
              </w:rPr>
            </w:pPr>
            <w:r w:rsidRPr="00960855">
              <w:rPr>
                <w:sz w:val="18"/>
                <w:szCs w:val="18"/>
                <w:lang w:val="hr-HR" w:eastAsia="hr-HR"/>
              </w:rPr>
              <w:t>0</w:t>
            </w:r>
          </w:p>
        </w:tc>
        <w:tc>
          <w:tcPr>
            <w:tcW w:w="1276" w:type="dxa"/>
            <w:shd w:val="clear" w:color="FFFFFF" w:fill="FFFFFF"/>
            <w:noWrap/>
            <w:vAlign w:val="center"/>
            <w:hideMark/>
          </w:tcPr>
          <w:p w14:paraId="2CFDC39C" w14:textId="77777777" w:rsidR="006430B8" w:rsidRPr="00960855" w:rsidRDefault="006430B8" w:rsidP="0020610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sz w:val="18"/>
                <w:szCs w:val="18"/>
                <w:lang w:val="hr-HR" w:eastAsia="hr-HR"/>
              </w:rPr>
            </w:pPr>
            <w:r w:rsidRPr="00960855">
              <w:rPr>
                <w:sz w:val="18"/>
                <w:szCs w:val="18"/>
                <w:lang w:val="hr-HR" w:eastAsia="hr-HR"/>
              </w:rPr>
              <w:t>0</w:t>
            </w:r>
          </w:p>
        </w:tc>
        <w:tc>
          <w:tcPr>
            <w:tcW w:w="1453" w:type="dxa"/>
            <w:shd w:val="clear" w:color="FFFFFF" w:fill="FFFFFF"/>
            <w:noWrap/>
            <w:vAlign w:val="center"/>
            <w:hideMark/>
          </w:tcPr>
          <w:p w14:paraId="1E460227" w14:textId="77777777" w:rsidR="006430B8" w:rsidRPr="00960855" w:rsidRDefault="006430B8" w:rsidP="0020610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sz w:val="18"/>
                <w:szCs w:val="18"/>
                <w:lang w:val="hr-HR" w:eastAsia="hr-HR"/>
              </w:rPr>
            </w:pPr>
            <w:r w:rsidRPr="00960855">
              <w:rPr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56" w:type="dxa"/>
            <w:shd w:val="clear" w:color="FFFFFF" w:fill="FFFFFF"/>
            <w:vAlign w:val="center"/>
            <w:hideMark/>
          </w:tcPr>
          <w:p w14:paraId="7ECD5AC5" w14:textId="77777777" w:rsidR="006430B8" w:rsidRPr="00960855" w:rsidRDefault="006430B8" w:rsidP="0020610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sz w:val="18"/>
                <w:szCs w:val="18"/>
                <w:lang w:val="hr-HR" w:eastAsia="hr-HR"/>
              </w:rPr>
            </w:pPr>
            <w:r w:rsidRPr="00960855">
              <w:rPr>
                <w:sz w:val="18"/>
                <w:szCs w:val="18"/>
                <w:lang w:val="hr-HR" w:eastAsia="hr-HR"/>
              </w:rPr>
              <w:t>-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27203825" w14:textId="77777777" w:rsidR="006430B8" w:rsidRPr="00960855" w:rsidRDefault="006430B8" w:rsidP="0020610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sz w:val="18"/>
                <w:szCs w:val="18"/>
                <w:lang w:val="hr-HR" w:eastAsia="hr-HR"/>
              </w:rPr>
            </w:pPr>
            <w:r w:rsidRPr="00960855">
              <w:rPr>
                <w:sz w:val="18"/>
                <w:szCs w:val="18"/>
                <w:lang w:val="hr-HR" w:eastAsia="hr-HR"/>
              </w:rPr>
              <w:t>-</w:t>
            </w:r>
          </w:p>
        </w:tc>
      </w:tr>
      <w:tr w:rsidR="00FC4045" w:rsidRPr="00FC4A3A" w14:paraId="7BE488F7" w14:textId="77777777" w:rsidTr="003950D6">
        <w:trPr>
          <w:trHeight w:val="294"/>
        </w:trPr>
        <w:tc>
          <w:tcPr>
            <w:tcW w:w="2269" w:type="dxa"/>
            <w:shd w:val="clear" w:color="DDEBF7" w:fill="DDEBF7"/>
            <w:noWrap/>
            <w:vAlign w:val="center"/>
            <w:hideMark/>
          </w:tcPr>
          <w:p w14:paraId="73A7D900" w14:textId="77777777" w:rsidR="00FC4045" w:rsidRPr="00960855" w:rsidRDefault="00FC4045" w:rsidP="00FC4045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bCs/>
                <w:sz w:val="18"/>
                <w:szCs w:val="18"/>
                <w:lang w:val="hr-HR" w:eastAsia="hr-HR"/>
              </w:rPr>
            </w:pPr>
            <w:r w:rsidRPr="00960855">
              <w:rPr>
                <w:b/>
                <w:bCs/>
                <w:sz w:val="18"/>
                <w:szCs w:val="18"/>
                <w:lang w:val="hr-HR" w:eastAsia="hr-HR"/>
              </w:rPr>
              <w:t>RASHODI UKUPNO</w:t>
            </w:r>
          </w:p>
        </w:tc>
        <w:tc>
          <w:tcPr>
            <w:tcW w:w="1559" w:type="dxa"/>
            <w:shd w:val="clear" w:color="DDEBF7" w:fill="DDEBF7"/>
            <w:noWrap/>
            <w:vAlign w:val="center"/>
          </w:tcPr>
          <w:p w14:paraId="093CCB77" w14:textId="77777777" w:rsidR="00FC4045" w:rsidRPr="006C5D7C" w:rsidRDefault="00FC4045" w:rsidP="00FC404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sz w:val="18"/>
                <w:szCs w:val="18"/>
                <w:lang w:val="hr-HR" w:eastAsia="hr-HR"/>
              </w:rPr>
            </w:pPr>
            <w:r w:rsidRPr="006C5D7C">
              <w:rPr>
                <w:b/>
                <w:bCs/>
                <w:sz w:val="18"/>
                <w:szCs w:val="18"/>
                <w:lang w:val="hr-HR" w:eastAsia="hr-HR"/>
              </w:rPr>
              <w:t>1.303.430,18</w:t>
            </w:r>
          </w:p>
        </w:tc>
        <w:tc>
          <w:tcPr>
            <w:tcW w:w="1560" w:type="dxa"/>
            <w:shd w:val="clear" w:color="DDEBF7" w:fill="DDEBF7"/>
            <w:noWrap/>
            <w:vAlign w:val="center"/>
          </w:tcPr>
          <w:p w14:paraId="7C564E72" w14:textId="7C632C42" w:rsidR="00FC4045" w:rsidRPr="006C5D7C" w:rsidRDefault="00FC4045" w:rsidP="00FC404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b/>
                <w:bCs/>
                <w:sz w:val="18"/>
                <w:szCs w:val="18"/>
                <w:lang w:val="hr-HR" w:eastAsia="hr-HR"/>
              </w:rPr>
              <w:t>32.233.650</w:t>
            </w:r>
          </w:p>
        </w:tc>
        <w:tc>
          <w:tcPr>
            <w:tcW w:w="1276" w:type="dxa"/>
            <w:shd w:val="clear" w:color="DDEBF7" w:fill="DDEBF7"/>
            <w:noWrap/>
            <w:vAlign w:val="center"/>
          </w:tcPr>
          <w:p w14:paraId="160C70CA" w14:textId="31D1AF5B" w:rsidR="00FC4045" w:rsidRPr="006C5D7C" w:rsidRDefault="00FC4045" w:rsidP="00FC404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b/>
                <w:bCs/>
                <w:sz w:val="18"/>
                <w:szCs w:val="18"/>
                <w:lang w:val="hr-HR" w:eastAsia="hr-HR"/>
              </w:rPr>
              <w:t>31.919.650</w:t>
            </w:r>
          </w:p>
        </w:tc>
        <w:tc>
          <w:tcPr>
            <w:tcW w:w="1453" w:type="dxa"/>
            <w:shd w:val="clear" w:color="DDEBF7" w:fill="DDEBF7"/>
            <w:noWrap/>
            <w:vAlign w:val="center"/>
          </w:tcPr>
          <w:p w14:paraId="764FB525" w14:textId="1237F16A" w:rsidR="00FC4045" w:rsidRPr="006C5D7C" w:rsidRDefault="00FC4045" w:rsidP="00FC404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b/>
                <w:bCs/>
                <w:sz w:val="18"/>
                <w:szCs w:val="18"/>
                <w:lang w:val="hr-HR" w:eastAsia="hr-HR"/>
              </w:rPr>
              <w:t>31.147.482,79</w:t>
            </w:r>
          </w:p>
        </w:tc>
        <w:tc>
          <w:tcPr>
            <w:tcW w:w="956" w:type="dxa"/>
            <w:shd w:val="clear" w:color="DDEBF7" w:fill="DDEBF7"/>
            <w:vAlign w:val="center"/>
          </w:tcPr>
          <w:p w14:paraId="6AE53C62" w14:textId="61ED57E6" w:rsidR="00FC4045" w:rsidRPr="006C5D7C" w:rsidRDefault="00FC4045" w:rsidP="00FC404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b/>
                <w:bCs/>
                <w:sz w:val="18"/>
                <w:szCs w:val="18"/>
                <w:lang w:val="hr-HR" w:eastAsia="hr-HR"/>
              </w:rPr>
              <w:t>1.954,70</w:t>
            </w:r>
          </w:p>
        </w:tc>
        <w:tc>
          <w:tcPr>
            <w:tcW w:w="992" w:type="dxa"/>
            <w:shd w:val="clear" w:color="DDEBF7" w:fill="DDEBF7"/>
            <w:vAlign w:val="center"/>
          </w:tcPr>
          <w:p w14:paraId="774A63D3" w14:textId="088A5D7C" w:rsidR="00FC4045" w:rsidRPr="006C5D7C" w:rsidRDefault="00FC4045" w:rsidP="00FC404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b/>
                <w:bCs/>
                <w:sz w:val="18"/>
                <w:szCs w:val="18"/>
                <w:lang w:val="hr-HR" w:eastAsia="hr-HR"/>
              </w:rPr>
              <w:t>97,58</w:t>
            </w:r>
          </w:p>
        </w:tc>
      </w:tr>
      <w:tr w:rsidR="006C5D7C" w:rsidRPr="00FC4A3A" w14:paraId="3D1AD328" w14:textId="77777777" w:rsidTr="00FC4045">
        <w:trPr>
          <w:trHeight w:val="294"/>
        </w:trPr>
        <w:tc>
          <w:tcPr>
            <w:tcW w:w="2269" w:type="dxa"/>
            <w:shd w:val="clear" w:color="FFFFFF" w:fill="FFFFFF"/>
            <w:vAlign w:val="center"/>
            <w:hideMark/>
          </w:tcPr>
          <w:p w14:paraId="09675A8E" w14:textId="77777777" w:rsidR="006C5D7C" w:rsidRPr="00960855" w:rsidRDefault="006C5D7C" w:rsidP="006C5D7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hr-HR" w:eastAsia="hr-HR"/>
              </w:rPr>
            </w:pPr>
            <w:r w:rsidRPr="00960855">
              <w:rPr>
                <w:sz w:val="18"/>
                <w:szCs w:val="18"/>
                <w:lang w:val="hr-HR" w:eastAsia="hr-HR"/>
              </w:rPr>
              <w:t>3 RASHODI  POSLOVANJA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D099F93" w14:textId="10CED4EE" w:rsidR="006C5D7C" w:rsidRPr="006C5D7C" w:rsidRDefault="00FC4045" w:rsidP="006C5D7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sz w:val="18"/>
                <w:szCs w:val="18"/>
                <w:lang w:val="hr-HR" w:eastAsia="hr-HR"/>
              </w:rPr>
            </w:pPr>
            <w:r>
              <w:rPr>
                <w:sz w:val="18"/>
                <w:szCs w:val="18"/>
                <w:lang w:val="hr-HR" w:eastAsia="hr-HR"/>
              </w:rPr>
              <w:t>1.574.323,49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14:paraId="553BA7C3" w14:textId="09D68912" w:rsidR="006C5D7C" w:rsidRPr="006C5D7C" w:rsidRDefault="00FC4045" w:rsidP="006C5D7C">
            <w:pPr>
              <w:jc w:val="right"/>
              <w:rPr>
                <w:sz w:val="18"/>
                <w:szCs w:val="18"/>
                <w:lang w:val="hr-HR" w:eastAsia="hr-HR"/>
              </w:rPr>
            </w:pPr>
            <w:r>
              <w:rPr>
                <w:sz w:val="18"/>
                <w:szCs w:val="18"/>
                <w:lang w:val="hr-HR" w:eastAsia="hr-HR"/>
              </w:rPr>
              <w:t>32.186.230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6C9FCA1D" w14:textId="1C914C63" w:rsidR="006C5D7C" w:rsidRPr="006C5D7C" w:rsidRDefault="00FC4045" w:rsidP="006C5D7C">
            <w:pPr>
              <w:jc w:val="right"/>
              <w:rPr>
                <w:sz w:val="18"/>
                <w:szCs w:val="18"/>
                <w:lang w:val="hr-HR" w:eastAsia="hr-HR"/>
              </w:rPr>
            </w:pPr>
            <w:r>
              <w:rPr>
                <w:sz w:val="18"/>
                <w:szCs w:val="18"/>
                <w:lang w:val="hr-HR" w:eastAsia="hr-HR"/>
              </w:rPr>
              <w:t>31.872.230</w:t>
            </w:r>
          </w:p>
        </w:tc>
        <w:tc>
          <w:tcPr>
            <w:tcW w:w="1453" w:type="dxa"/>
            <w:shd w:val="clear" w:color="FFFFFF" w:fill="FFFFFF"/>
            <w:vAlign w:val="center"/>
          </w:tcPr>
          <w:p w14:paraId="4919B86A" w14:textId="552CC4C9" w:rsidR="006C5D7C" w:rsidRPr="006C5D7C" w:rsidRDefault="00FC4045" w:rsidP="006C5D7C">
            <w:pPr>
              <w:jc w:val="right"/>
              <w:rPr>
                <w:sz w:val="18"/>
                <w:szCs w:val="18"/>
                <w:lang w:val="hr-HR" w:eastAsia="hr-HR"/>
              </w:rPr>
            </w:pPr>
            <w:r>
              <w:rPr>
                <w:sz w:val="18"/>
                <w:szCs w:val="18"/>
                <w:lang w:val="hr-HR" w:eastAsia="hr-HR"/>
              </w:rPr>
              <w:t>31.116.688,86</w:t>
            </w:r>
          </w:p>
        </w:tc>
        <w:tc>
          <w:tcPr>
            <w:tcW w:w="956" w:type="dxa"/>
            <w:shd w:val="clear" w:color="FFFFFF" w:fill="FFFFFF"/>
            <w:vAlign w:val="center"/>
          </w:tcPr>
          <w:p w14:paraId="7AC49A56" w14:textId="06979908" w:rsidR="006C5D7C" w:rsidRPr="006C5D7C" w:rsidRDefault="00FC4045" w:rsidP="006C5D7C">
            <w:pPr>
              <w:jc w:val="right"/>
              <w:rPr>
                <w:sz w:val="18"/>
                <w:szCs w:val="18"/>
                <w:lang w:val="hr-HR" w:eastAsia="hr-HR"/>
              </w:rPr>
            </w:pPr>
            <w:r>
              <w:rPr>
                <w:sz w:val="18"/>
                <w:szCs w:val="18"/>
                <w:lang w:val="hr-HR" w:eastAsia="hr-HR"/>
              </w:rPr>
              <w:t>1.976,51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6361E1A8" w14:textId="76DACD3D" w:rsidR="006C5D7C" w:rsidRPr="006C5D7C" w:rsidRDefault="00FC4045" w:rsidP="006C5D7C">
            <w:pPr>
              <w:jc w:val="right"/>
              <w:rPr>
                <w:sz w:val="18"/>
                <w:szCs w:val="18"/>
                <w:lang w:val="hr-HR" w:eastAsia="hr-HR"/>
              </w:rPr>
            </w:pPr>
            <w:r>
              <w:rPr>
                <w:sz w:val="18"/>
                <w:szCs w:val="18"/>
                <w:lang w:val="hr-HR" w:eastAsia="hr-HR"/>
              </w:rPr>
              <w:t>97,63</w:t>
            </w:r>
          </w:p>
        </w:tc>
      </w:tr>
      <w:tr w:rsidR="006C5D7C" w:rsidRPr="00FC4A3A" w14:paraId="77FE8AB4" w14:textId="77777777" w:rsidTr="00FC4045">
        <w:trPr>
          <w:trHeight w:val="294"/>
        </w:trPr>
        <w:tc>
          <w:tcPr>
            <w:tcW w:w="2269" w:type="dxa"/>
            <w:shd w:val="clear" w:color="FFFFFF" w:fill="FFFFFF"/>
            <w:noWrap/>
            <w:vAlign w:val="center"/>
            <w:hideMark/>
          </w:tcPr>
          <w:p w14:paraId="4923794D" w14:textId="77777777" w:rsidR="006C5D7C" w:rsidRPr="00960855" w:rsidRDefault="006C5D7C" w:rsidP="006C5D7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hr-HR" w:eastAsia="hr-HR"/>
              </w:rPr>
            </w:pPr>
            <w:r w:rsidRPr="00960855">
              <w:rPr>
                <w:sz w:val="18"/>
                <w:szCs w:val="18"/>
                <w:lang w:val="hr-HR" w:eastAsia="hr-HR"/>
              </w:rPr>
              <w:lastRenderedPageBreak/>
              <w:t>4 RASHODI ZA NEFINANCIJSKU IMOVINU</w:t>
            </w:r>
          </w:p>
        </w:tc>
        <w:tc>
          <w:tcPr>
            <w:tcW w:w="1559" w:type="dxa"/>
            <w:shd w:val="clear" w:color="FFFFFF" w:fill="FFFFFF"/>
            <w:noWrap/>
            <w:vAlign w:val="center"/>
          </w:tcPr>
          <w:p w14:paraId="70F15BA8" w14:textId="6DC48EED" w:rsidR="006C5D7C" w:rsidRPr="00FC4045" w:rsidRDefault="00FC4045" w:rsidP="006C5D7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sz w:val="18"/>
                <w:szCs w:val="18"/>
                <w:lang w:val="hr-HR" w:eastAsia="hr-HR"/>
              </w:rPr>
            </w:pPr>
            <w:r w:rsidRPr="00FC4045">
              <w:rPr>
                <w:sz w:val="18"/>
                <w:szCs w:val="18"/>
                <w:lang w:val="hr-HR" w:eastAsia="hr-HR"/>
              </w:rPr>
              <w:t>19.141,49</w:t>
            </w:r>
          </w:p>
        </w:tc>
        <w:tc>
          <w:tcPr>
            <w:tcW w:w="1560" w:type="dxa"/>
            <w:shd w:val="clear" w:color="FFFFFF" w:fill="FFFFFF"/>
            <w:noWrap/>
            <w:vAlign w:val="center"/>
          </w:tcPr>
          <w:p w14:paraId="76563051" w14:textId="32A7C25B" w:rsidR="006C5D7C" w:rsidRPr="00FC4045" w:rsidRDefault="00FC4045" w:rsidP="006C5D7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sz w:val="18"/>
                <w:szCs w:val="18"/>
                <w:lang w:val="hr-HR" w:eastAsia="hr-HR"/>
              </w:rPr>
            </w:pPr>
            <w:r w:rsidRPr="00FC4045">
              <w:rPr>
                <w:sz w:val="18"/>
                <w:szCs w:val="18"/>
                <w:lang w:val="hr-HR" w:eastAsia="hr-HR"/>
              </w:rPr>
              <w:t>47.420</w:t>
            </w:r>
          </w:p>
        </w:tc>
        <w:tc>
          <w:tcPr>
            <w:tcW w:w="1276" w:type="dxa"/>
            <w:shd w:val="clear" w:color="FFFFFF" w:fill="FFFFFF"/>
            <w:noWrap/>
            <w:vAlign w:val="center"/>
          </w:tcPr>
          <w:p w14:paraId="63889008" w14:textId="1A57F2C3" w:rsidR="006C5D7C" w:rsidRPr="00FC4045" w:rsidRDefault="00FC4045" w:rsidP="006C5D7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sz w:val="18"/>
                <w:szCs w:val="18"/>
                <w:lang w:val="hr-HR" w:eastAsia="hr-HR"/>
              </w:rPr>
            </w:pPr>
            <w:r w:rsidRPr="00FC4045">
              <w:rPr>
                <w:sz w:val="18"/>
                <w:szCs w:val="18"/>
                <w:lang w:val="hr-HR" w:eastAsia="hr-HR"/>
              </w:rPr>
              <w:t>47.420</w:t>
            </w:r>
          </w:p>
        </w:tc>
        <w:tc>
          <w:tcPr>
            <w:tcW w:w="1453" w:type="dxa"/>
            <w:shd w:val="clear" w:color="FFFFFF" w:fill="FFFFFF"/>
            <w:noWrap/>
            <w:vAlign w:val="center"/>
          </w:tcPr>
          <w:p w14:paraId="090A5F72" w14:textId="3B32FEC6" w:rsidR="006C5D7C" w:rsidRPr="00FC4045" w:rsidRDefault="00FC4045" w:rsidP="006C5D7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sz w:val="18"/>
                <w:szCs w:val="18"/>
                <w:lang w:val="hr-HR" w:eastAsia="hr-HR"/>
              </w:rPr>
            </w:pPr>
            <w:r w:rsidRPr="00FC4045">
              <w:rPr>
                <w:sz w:val="18"/>
                <w:szCs w:val="18"/>
                <w:lang w:val="hr-HR" w:eastAsia="hr-HR"/>
              </w:rPr>
              <w:t>30.793,93</w:t>
            </w:r>
          </w:p>
        </w:tc>
        <w:tc>
          <w:tcPr>
            <w:tcW w:w="956" w:type="dxa"/>
            <w:shd w:val="clear" w:color="FFFFFF" w:fill="FFFFFF"/>
            <w:vAlign w:val="center"/>
          </w:tcPr>
          <w:p w14:paraId="6DFC5866" w14:textId="191DB66F" w:rsidR="006C5D7C" w:rsidRPr="00FC4045" w:rsidRDefault="00FC4045" w:rsidP="00FC4045">
            <w:pPr>
              <w:jc w:val="right"/>
              <w:rPr>
                <w:sz w:val="18"/>
                <w:szCs w:val="18"/>
                <w:lang w:val="hr-HR" w:eastAsia="hr-HR"/>
              </w:rPr>
            </w:pPr>
            <w:r w:rsidRPr="00FC4045">
              <w:rPr>
                <w:sz w:val="18"/>
                <w:szCs w:val="18"/>
                <w:lang w:val="hr-HR" w:eastAsia="hr-HR"/>
              </w:rPr>
              <w:t>160,88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04D845E8" w14:textId="29E0E487" w:rsidR="006C5D7C" w:rsidRPr="00FC4045" w:rsidRDefault="00FC4045" w:rsidP="00FC4045">
            <w:pPr>
              <w:jc w:val="right"/>
              <w:rPr>
                <w:sz w:val="18"/>
                <w:szCs w:val="18"/>
                <w:lang w:val="hr-HR" w:eastAsia="hr-HR"/>
              </w:rPr>
            </w:pPr>
            <w:r w:rsidRPr="00FC4045">
              <w:rPr>
                <w:sz w:val="18"/>
                <w:szCs w:val="18"/>
                <w:lang w:val="hr-HR" w:eastAsia="hr-HR"/>
              </w:rPr>
              <w:t>64,94</w:t>
            </w:r>
          </w:p>
        </w:tc>
      </w:tr>
      <w:tr w:rsidR="006430B8" w:rsidRPr="00FC4A3A" w14:paraId="7A6AE773" w14:textId="77777777" w:rsidTr="003950D6">
        <w:trPr>
          <w:trHeight w:val="294"/>
        </w:trPr>
        <w:tc>
          <w:tcPr>
            <w:tcW w:w="2269" w:type="dxa"/>
            <w:shd w:val="clear" w:color="DDEBF7" w:fill="DDEBF7"/>
            <w:vAlign w:val="center"/>
            <w:hideMark/>
          </w:tcPr>
          <w:p w14:paraId="7B1C08C8" w14:textId="77777777" w:rsidR="006430B8" w:rsidRPr="00960855" w:rsidRDefault="006430B8" w:rsidP="0020610B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bCs/>
                <w:sz w:val="18"/>
                <w:szCs w:val="18"/>
                <w:lang w:val="hr-HR" w:eastAsia="hr-HR"/>
              </w:rPr>
            </w:pPr>
            <w:r w:rsidRPr="00960855">
              <w:rPr>
                <w:b/>
                <w:bCs/>
                <w:sz w:val="18"/>
                <w:szCs w:val="18"/>
                <w:lang w:val="hr-HR" w:eastAsia="hr-HR"/>
              </w:rPr>
              <w:t>RAZLIKA - VIŠAK / MANJAK</w:t>
            </w:r>
          </w:p>
        </w:tc>
        <w:tc>
          <w:tcPr>
            <w:tcW w:w="1559" w:type="dxa"/>
            <w:shd w:val="clear" w:color="DDEBF7" w:fill="DDEBF7"/>
            <w:noWrap/>
            <w:vAlign w:val="center"/>
            <w:hideMark/>
          </w:tcPr>
          <w:p w14:paraId="7D89E859" w14:textId="77777777" w:rsidR="006430B8" w:rsidRPr="00960855" w:rsidRDefault="00FC32E5" w:rsidP="0020610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b/>
                <w:bCs/>
                <w:sz w:val="18"/>
                <w:szCs w:val="18"/>
                <w:lang w:val="hr-HR" w:eastAsia="hr-HR"/>
              </w:rPr>
              <w:t>0</w:t>
            </w:r>
          </w:p>
        </w:tc>
        <w:tc>
          <w:tcPr>
            <w:tcW w:w="1560" w:type="dxa"/>
            <w:shd w:val="clear" w:color="DDEBF7" w:fill="DDEBF7"/>
            <w:noWrap/>
            <w:vAlign w:val="center"/>
            <w:hideMark/>
          </w:tcPr>
          <w:p w14:paraId="2EA39CBD" w14:textId="77777777" w:rsidR="006430B8" w:rsidRPr="00960855" w:rsidRDefault="006430B8" w:rsidP="0020610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sz w:val="18"/>
                <w:szCs w:val="18"/>
                <w:lang w:val="hr-HR" w:eastAsia="hr-HR"/>
              </w:rPr>
            </w:pPr>
            <w:r w:rsidRPr="00960855">
              <w:rPr>
                <w:b/>
                <w:bCs/>
                <w:sz w:val="18"/>
                <w:szCs w:val="18"/>
                <w:lang w:val="hr-HR" w:eastAsia="hr-HR"/>
              </w:rPr>
              <w:t xml:space="preserve">0 </w:t>
            </w:r>
          </w:p>
        </w:tc>
        <w:tc>
          <w:tcPr>
            <w:tcW w:w="1276" w:type="dxa"/>
            <w:shd w:val="clear" w:color="DDEBF7" w:fill="DDEBF7"/>
            <w:noWrap/>
            <w:vAlign w:val="center"/>
            <w:hideMark/>
          </w:tcPr>
          <w:p w14:paraId="55C0C29E" w14:textId="77777777" w:rsidR="006430B8" w:rsidRPr="00960855" w:rsidRDefault="006430B8" w:rsidP="0020610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sz w:val="18"/>
                <w:szCs w:val="18"/>
                <w:lang w:val="hr-HR" w:eastAsia="hr-HR"/>
              </w:rPr>
            </w:pPr>
            <w:r w:rsidRPr="00960855">
              <w:rPr>
                <w:b/>
                <w:bCs/>
                <w:sz w:val="18"/>
                <w:szCs w:val="18"/>
                <w:lang w:val="hr-HR" w:eastAsia="hr-HR"/>
              </w:rPr>
              <w:t xml:space="preserve">0 </w:t>
            </w:r>
          </w:p>
        </w:tc>
        <w:tc>
          <w:tcPr>
            <w:tcW w:w="1453" w:type="dxa"/>
            <w:shd w:val="clear" w:color="DDEBF7" w:fill="DDEBF7"/>
            <w:noWrap/>
            <w:vAlign w:val="center"/>
            <w:hideMark/>
          </w:tcPr>
          <w:p w14:paraId="5EF71DEF" w14:textId="77777777" w:rsidR="006430B8" w:rsidRPr="00960855" w:rsidRDefault="006430B8" w:rsidP="0020610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sz w:val="18"/>
                <w:szCs w:val="18"/>
                <w:lang w:val="hr-HR" w:eastAsia="hr-HR"/>
              </w:rPr>
            </w:pPr>
            <w:r w:rsidRPr="00960855">
              <w:rPr>
                <w:b/>
                <w:bCs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56" w:type="dxa"/>
            <w:shd w:val="clear" w:color="DDEBF7" w:fill="DDEBF7"/>
            <w:vAlign w:val="center"/>
            <w:hideMark/>
          </w:tcPr>
          <w:p w14:paraId="4944414D" w14:textId="77777777" w:rsidR="006430B8" w:rsidRPr="00960855" w:rsidRDefault="006430B8" w:rsidP="0020610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sz w:val="18"/>
                <w:szCs w:val="18"/>
                <w:lang w:val="hr-HR" w:eastAsia="hr-HR"/>
              </w:rPr>
            </w:pPr>
            <w:r w:rsidRPr="00960855">
              <w:rPr>
                <w:b/>
                <w:bCs/>
                <w:sz w:val="18"/>
                <w:szCs w:val="18"/>
                <w:lang w:val="hr-HR" w:eastAsia="hr-HR"/>
              </w:rPr>
              <w:t>0</w:t>
            </w:r>
          </w:p>
        </w:tc>
        <w:tc>
          <w:tcPr>
            <w:tcW w:w="992" w:type="dxa"/>
            <w:shd w:val="clear" w:color="DDEBF7" w:fill="DDEBF7"/>
            <w:vAlign w:val="center"/>
          </w:tcPr>
          <w:p w14:paraId="5A89FAE4" w14:textId="77777777" w:rsidR="006430B8" w:rsidRPr="00960855" w:rsidRDefault="006430B8" w:rsidP="0020610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sz w:val="18"/>
                <w:szCs w:val="18"/>
                <w:lang w:val="hr-HR" w:eastAsia="hr-HR"/>
              </w:rPr>
            </w:pPr>
            <w:r w:rsidRPr="00960855">
              <w:rPr>
                <w:b/>
                <w:bCs/>
                <w:sz w:val="18"/>
                <w:szCs w:val="18"/>
                <w:lang w:val="hr-HR" w:eastAsia="hr-HR"/>
              </w:rPr>
              <w:t>0</w:t>
            </w:r>
          </w:p>
        </w:tc>
      </w:tr>
    </w:tbl>
    <w:p w14:paraId="5264FFCB" w14:textId="66F860BA" w:rsidR="006430B8" w:rsidRPr="00855AD5" w:rsidRDefault="006430B8" w:rsidP="006430B8">
      <w:pPr>
        <w:rPr>
          <w:sz w:val="24"/>
          <w:szCs w:val="24"/>
        </w:rPr>
      </w:pPr>
      <w:r w:rsidRPr="00855AD5">
        <w:rPr>
          <w:sz w:val="24"/>
          <w:szCs w:val="24"/>
        </w:rPr>
        <w:t>PRIHODI I PRIMICI</w:t>
      </w:r>
    </w:p>
    <w:p w14:paraId="07B5F22E" w14:textId="77777777" w:rsidR="006430B8" w:rsidRPr="00855AD5" w:rsidRDefault="006430B8" w:rsidP="006430B8">
      <w:pPr>
        <w:rPr>
          <w:sz w:val="24"/>
          <w:szCs w:val="24"/>
        </w:rPr>
      </w:pPr>
      <w:r w:rsidRPr="00855AD5">
        <w:rPr>
          <w:sz w:val="24"/>
          <w:szCs w:val="24"/>
        </w:rPr>
        <w:t xml:space="preserve">Državno izborno povjerenstvo Republike Hrvatske </w:t>
      </w:r>
      <w:r>
        <w:rPr>
          <w:sz w:val="24"/>
          <w:szCs w:val="24"/>
        </w:rPr>
        <w:t>f</w:t>
      </w:r>
      <w:r w:rsidRPr="00855AD5">
        <w:rPr>
          <w:sz w:val="24"/>
          <w:szCs w:val="24"/>
        </w:rPr>
        <w:t xml:space="preserve">inancira </w:t>
      </w:r>
      <w:r>
        <w:rPr>
          <w:sz w:val="24"/>
          <w:szCs w:val="24"/>
        </w:rPr>
        <w:t xml:space="preserve">se </w:t>
      </w:r>
      <w:r w:rsidRPr="00855AD5">
        <w:rPr>
          <w:sz w:val="24"/>
          <w:szCs w:val="24"/>
        </w:rPr>
        <w:t>iz drža</w:t>
      </w:r>
      <w:r>
        <w:rPr>
          <w:sz w:val="24"/>
          <w:szCs w:val="24"/>
        </w:rPr>
        <w:t>v</w:t>
      </w:r>
      <w:r w:rsidRPr="00855AD5">
        <w:rPr>
          <w:sz w:val="24"/>
          <w:szCs w:val="24"/>
        </w:rPr>
        <w:t>nog proračuna, izvor financiranja 11 Opći prihodi i primici</w:t>
      </w:r>
      <w:r>
        <w:rPr>
          <w:sz w:val="24"/>
          <w:szCs w:val="24"/>
        </w:rPr>
        <w:t xml:space="preserve"> odnosno ostvaruje prihode u okviru skupine prihoda 67 Prihodi iz proračuna izvora financiranja 11. Isto tako moguće je ostvarivanje prihoda u okviru skupine prihoda 63 Pomoći iz inozemstva i od subjekata unutar opće države izvora financiranja. 51 Pomoći EU. </w:t>
      </w:r>
    </w:p>
    <w:p w14:paraId="6A18839C" w14:textId="0185AADB" w:rsidR="006430B8" w:rsidRDefault="003950D6" w:rsidP="006430B8">
      <w:pPr>
        <w:rPr>
          <w:sz w:val="24"/>
          <w:szCs w:val="24"/>
        </w:rPr>
      </w:pPr>
      <w:r>
        <w:rPr>
          <w:sz w:val="24"/>
          <w:szCs w:val="24"/>
        </w:rPr>
        <w:t>S obzirom da je nakon donošenja izmjena i dopuna financijskog p</w:t>
      </w:r>
      <w:r w:rsidR="008D3F7F">
        <w:rPr>
          <w:sz w:val="24"/>
          <w:szCs w:val="24"/>
        </w:rPr>
        <w:t xml:space="preserve">lana provedena preraspodjela, </w:t>
      </w:r>
      <w:r>
        <w:rPr>
          <w:sz w:val="24"/>
          <w:szCs w:val="24"/>
        </w:rPr>
        <w:t xml:space="preserve">tablica sadrži rebalans i tekući plan. </w:t>
      </w:r>
      <w:r w:rsidR="006430B8">
        <w:rPr>
          <w:sz w:val="24"/>
          <w:szCs w:val="24"/>
        </w:rPr>
        <w:t xml:space="preserve">Ukupni prihodi </w:t>
      </w:r>
      <w:r w:rsidR="001221EA">
        <w:rPr>
          <w:sz w:val="24"/>
          <w:szCs w:val="24"/>
        </w:rPr>
        <w:t xml:space="preserve">tekućeg plana za </w:t>
      </w:r>
      <w:r w:rsidR="006430B8">
        <w:rPr>
          <w:sz w:val="24"/>
          <w:szCs w:val="24"/>
        </w:rPr>
        <w:t>202</w:t>
      </w:r>
      <w:r w:rsidR="00FC4045">
        <w:rPr>
          <w:sz w:val="24"/>
          <w:szCs w:val="24"/>
        </w:rPr>
        <w:t>4</w:t>
      </w:r>
      <w:r w:rsidR="006430B8">
        <w:rPr>
          <w:sz w:val="24"/>
          <w:szCs w:val="24"/>
        </w:rPr>
        <w:t>. iskazani su u visini planiranih rashoda za 202</w:t>
      </w:r>
      <w:r w:rsidR="00FC4045">
        <w:rPr>
          <w:sz w:val="24"/>
          <w:szCs w:val="24"/>
        </w:rPr>
        <w:t>4</w:t>
      </w:r>
      <w:r w:rsidR="006430B8">
        <w:rPr>
          <w:sz w:val="24"/>
          <w:szCs w:val="24"/>
        </w:rPr>
        <w:t xml:space="preserve">. u iznosu od </w:t>
      </w:r>
      <w:r w:rsidR="00FC4045">
        <w:rPr>
          <w:sz w:val="24"/>
          <w:szCs w:val="24"/>
        </w:rPr>
        <w:t>3</w:t>
      </w:r>
      <w:r w:rsidR="001221EA">
        <w:rPr>
          <w:sz w:val="24"/>
          <w:szCs w:val="24"/>
        </w:rPr>
        <w:t>1.</w:t>
      </w:r>
      <w:r w:rsidR="00FC4045">
        <w:rPr>
          <w:sz w:val="24"/>
          <w:szCs w:val="24"/>
        </w:rPr>
        <w:t>919.650</w:t>
      </w:r>
      <w:r w:rsidR="006430B8">
        <w:rPr>
          <w:sz w:val="24"/>
          <w:szCs w:val="24"/>
        </w:rPr>
        <w:t xml:space="preserve"> </w:t>
      </w:r>
      <w:r w:rsidR="00D6201A">
        <w:rPr>
          <w:sz w:val="24"/>
          <w:szCs w:val="24"/>
        </w:rPr>
        <w:t>eura</w:t>
      </w:r>
      <w:r w:rsidR="006430B8">
        <w:rPr>
          <w:sz w:val="24"/>
          <w:szCs w:val="24"/>
        </w:rPr>
        <w:t>.</w:t>
      </w:r>
      <w:r w:rsidR="0091232B">
        <w:rPr>
          <w:sz w:val="24"/>
          <w:szCs w:val="24"/>
        </w:rPr>
        <w:t xml:space="preserve"> Planirani se prihodi sastoje</w:t>
      </w:r>
      <w:r w:rsidR="006430B8">
        <w:rPr>
          <w:sz w:val="24"/>
          <w:szCs w:val="24"/>
        </w:rPr>
        <w:t xml:space="preserve"> od prihoda iz proračuna u iznosu od </w:t>
      </w:r>
      <w:r w:rsidR="00630F4C">
        <w:rPr>
          <w:sz w:val="24"/>
          <w:szCs w:val="24"/>
        </w:rPr>
        <w:t>31.918.000</w:t>
      </w:r>
      <w:r w:rsidR="006430B8">
        <w:rPr>
          <w:sz w:val="24"/>
          <w:szCs w:val="24"/>
        </w:rPr>
        <w:t xml:space="preserve"> </w:t>
      </w:r>
      <w:r w:rsidR="00D6201A">
        <w:rPr>
          <w:sz w:val="24"/>
          <w:szCs w:val="24"/>
        </w:rPr>
        <w:t>eura</w:t>
      </w:r>
      <w:r w:rsidR="006430B8">
        <w:rPr>
          <w:sz w:val="24"/>
          <w:szCs w:val="24"/>
        </w:rPr>
        <w:t>, izvor financiranja 11 te priho</w:t>
      </w:r>
      <w:r w:rsidR="005D2653">
        <w:rPr>
          <w:sz w:val="24"/>
          <w:szCs w:val="24"/>
        </w:rPr>
        <w:t xml:space="preserve">da od pomoći iz EU u iznosu od </w:t>
      </w:r>
      <w:r w:rsidR="00630F4C">
        <w:rPr>
          <w:sz w:val="24"/>
          <w:szCs w:val="24"/>
        </w:rPr>
        <w:t xml:space="preserve">1.650 </w:t>
      </w:r>
      <w:r w:rsidR="00D6201A">
        <w:rPr>
          <w:sz w:val="24"/>
          <w:szCs w:val="24"/>
        </w:rPr>
        <w:t>eura</w:t>
      </w:r>
      <w:r w:rsidR="00D6201A">
        <w:rPr>
          <w:sz w:val="24"/>
          <w:szCs w:val="24"/>
        </w:rPr>
        <w:t xml:space="preserve"> </w:t>
      </w:r>
      <w:r w:rsidR="006430B8">
        <w:rPr>
          <w:sz w:val="24"/>
          <w:szCs w:val="24"/>
        </w:rPr>
        <w:t xml:space="preserve"> izvor financiranja 51.</w:t>
      </w:r>
    </w:p>
    <w:p w14:paraId="497DDAA7" w14:textId="1E1FBBCA" w:rsidR="006430B8" w:rsidRDefault="006430B8" w:rsidP="006430B8">
      <w:pPr>
        <w:rPr>
          <w:sz w:val="24"/>
          <w:szCs w:val="24"/>
        </w:rPr>
      </w:pPr>
      <w:r>
        <w:rPr>
          <w:sz w:val="24"/>
          <w:szCs w:val="24"/>
        </w:rPr>
        <w:t xml:space="preserve">U razdoblju od 1. siječnja do </w:t>
      </w:r>
      <w:r w:rsidR="005D2653">
        <w:rPr>
          <w:sz w:val="24"/>
          <w:szCs w:val="24"/>
        </w:rPr>
        <w:t>31</w:t>
      </w:r>
      <w:r>
        <w:rPr>
          <w:sz w:val="24"/>
          <w:szCs w:val="24"/>
        </w:rPr>
        <w:t xml:space="preserve">. </w:t>
      </w:r>
      <w:r w:rsidR="005D2653">
        <w:rPr>
          <w:sz w:val="24"/>
          <w:szCs w:val="24"/>
        </w:rPr>
        <w:t>prosinc</w:t>
      </w:r>
      <w:r>
        <w:rPr>
          <w:sz w:val="24"/>
          <w:szCs w:val="24"/>
        </w:rPr>
        <w:t xml:space="preserve">a </w:t>
      </w:r>
      <w:r w:rsidR="00630F4C">
        <w:rPr>
          <w:sz w:val="24"/>
          <w:szCs w:val="24"/>
        </w:rPr>
        <w:t xml:space="preserve">2024. </w:t>
      </w:r>
      <w:r>
        <w:rPr>
          <w:sz w:val="24"/>
          <w:szCs w:val="24"/>
        </w:rPr>
        <w:t xml:space="preserve">prihodi su ostvareni u iznosu od </w:t>
      </w:r>
      <w:r w:rsidR="00630F4C">
        <w:rPr>
          <w:sz w:val="24"/>
          <w:szCs w:val="24"/>
        </w:rPr>
        <w:t>31.147.482,79</w:t>
      </w:r>
      <w:r w:rsidR="005D2653">
        <w:rPr>
          <w:sz w:val="24"/>
          <w:szCs w:val="24"/>
        </w:rPr>
        <w:t xml:space="preserve"> </w:t>
      </w:r>
      <w:r w:rsidR="00D6201A">
        <w:rPr>
          <w:sz w:val="24"/>
          <w:szCs w:val="24"/>
        </w:rPr>
        <w:t>eura</w:t>
      </w:r>
      <w:r w:rsidR="005D2653">
        <w:rPr>
          <w:sz w:val="24"/>
          <w:szCs w:val="24"/>
        </w:rPr>
        <w:t xml:space="preserve"> što iznosi </w:t>
      </w:r>
      <w:r w:rsidR="00630F4C">
        <w:rPr>
          <w:sz w:val="24"/>
          <w:szCs w:val="24"/>
        </w:rPr>
        <w:t>97,58</w:t>
      </w:r>
      <w:r>
        <w:rPr>
          <w:sz w:val="24"/>
          <w:szCs w:val="24"/>
        </w:rPr>
        <w:t xml:space="preserve">% od ukupno iskazanih prihoda </w:t>
      </w:r>
      <w:r w:rsidR="005D2653">
        <w:rPr>
          <w:sz w:val="24"/>
          <w:szCs w:val="24"/>
        </w:rPr>
        <w:t xml:space="preserve">tekućeg plana </w:t>
      </w:r>
      <w:r>
        <w:rPr>
          <w:sz w:val="24"/>
          <w:szCs w:val="24"/>
        </w:rPr>
        <w:t>za 202</w:t>
      </w:r>
      <w:r w:rsidR="00630F4C">
        <w:rPr>
          <w:sz w:val="24"/>
          <w:szCs w:val="24"/>
        </w:rPr>
        <w:t>4</w:t>
      </w:r>
      <w:r>
        <w:rPr>
          <w:sz w:val="24"/>
          <w:szCs w:val="24"/>
        </w:rPr>
        <w:t xml:space="preserve">. godinu. Ostvareni prihodi sastoje se od od prihoda iz proračuna u iznosu od </w:t>
      </w:r>
      <w:r w:rsidR="00630F4C">
        <w:rPr>
          <w:sz w:val="24"/>
          <w:szCs w:val="24"/>
        </w:rPr>
        <w:t>31.146.020,52</w:t>
      </w:r>
      <w:r>
        <w:rPr>
          <w:sz w:val="24"/>
          <w:szCs w:val="24"/>
        </w:rPr>
        <w:t xml:space="preserve"> </w:t>
      </w:r>
      <w:r w:rsidR="00D6201A">
        <w:rPr>
          <w:sz w:val="24"/>
          <w:szCs w:val="24"/>
        </w:rPr>
        <w:t>eura</w:t>
      </w:r>
      <w:r>
        <w:rPr>
          <w:sz w:val="24"/>
          <w:szCs w:val="24"/>
        </w:rPr>
        <w:t xml:space="preserve">, izvor financiranja 11 te prihoda od pomoći iz EU u iznosu od </w:t>
      </w:r>
      <w:r w:rsidR="00630F4C">
        <w:rPr>
          <w:sz w:val="24"/>
          <w:szCs w:val="24"/>
        </w:rPr>
        <w:t>1.462,27</w:t>
      </w:r>
      <w:r>
        <w:rPr>
          <w:sz w:val="24"/>
          <w:szCs w:val="24"/>
        </w:rPr>
        <w:t xml:space="preserve"> </w:t>
      </w:r>
      <w:r w:rsidR="00D6201A">
        <w:rPr>
          <w:sz w:val="24"/>
          <w:szCs w:val="24"/>
        </w:rPr>
        <w:t>eura</w:t>
      </w:r>
      <w:r>
        <w:rPr>
          <w:sz w:val="24"/>
          <w:szCs w:val="24"/>
        </w:rPr>
        <w:t xml:space="preserve"> izvor financiranja 51. Prihodi od pomoći iz EU odnose se na na refundaciju putnih troškova nastalih na službenom putovanju u organizaciji Europske komisije (refundacija troška avionske karte i troška transfera). </w:t>
      </w:r>
    </w:p>
    <w:p w14:paraId="7C3A107B" w14:textId="77777777" w:rsidR="006430B8" w:rsidRDefault="006430B8" w:rsidP="006430B8">
      <w:pPr>
        <w:rPr>
          <w:sz w:val="24"/>
          <w:szCs w:val="24"/>
        </w:rPr>
      </w:pPr>
    </w:p>
    <w:p w14:paraId="5A973A64" w14:textId="77777777" w:rsidR="006430B8" w:rsidRDefault="006430B8" w:rsidP="006430B8">
      <w:pPr>
        <w:rPr>
          <w:sz w:val="24"/>
          <w:szCs w:val="24"/>
        </w:rPr>
      </w:pPr>
      <w:r w:rsidRPr="00506DB6">
        <w:rPr>
          <w:sz w:val="24"/>
          <w:szCs w:val="24"/>
        </w:rPr>
        <w:t>RASHODI I IZDACI</w:t>
      </w:r>
    </w:p>
    <w:p w14:paraId="76A7E3F8" w14:textId="7D47CF93" w:rsidR="006430B8" w:rsidRDefault="006430B8" w:rsidP="006430B8">
      <w:pPr>
        <w:rPr>
          <w:sz w:val="24"/>
          <w:szCs w:val="24"/>
        </w:rPr>
      </w:pPr>
      <w:r>
        <w:rPr>
          <w:sz w:val="24"/>
          <w:szCs w:val="24"/>
        </w:rPr>
        <w:t xml:space="preserve">Rashodi i izdaci </w:t>
      </w:r>
      <w:r w:rsidRPr="00855AD5">
        <w:rPr>
          <w:sz w:val="24"/>
          <w:szCs w:val="24"/>
        </w:rPr>
        <w:t xml:space="preserve">za razdoblje </w:t>
      </w:r>
      <w:r w:rsidR="00CE00C2">
        <w:rPr>
          <w:sz w:val="24"/>
          <w:szCs w:val="24"/>
        </w:rPr>
        <w:t xml:space="preserve">1.1. </w:t>
      </w:r>
      <w:r>
        <w:rPr>
          <w:sz w:val="24"/>
          <w:szCs w:val="24"/>
        </w:rPr>
        <w:t xml:space="preserve">– </w:t>
      </w:r>
      <w:r w:rsidR="005D2653">
        <w:rPr>
          <w:sz w:val="24"/>
          <w:szCs w:val="24"/>
        </w:rPr>
        <w:t>31.12</w:t>
      </w:r>
      <w:r>
        <w:rPr>
          <w:sz w:val="24"/>
          <w:szCs w:val="24"/>
        </w:rPr>
        <w:t>.202</w:t>
      </w:r>
      <w:r w:rsidR="00630F4C">
        <w:rPr>
          <w:sz w:val="24"/>
          <w:szCs w:val="24"/>
        </w:rPr>
        <w:t>4</w:t>
      </w:r>
      <w:r>
        <w:rPr>
          <w:sz w:val="24"/>
          <w:szCs w:val="24"/>
        </w:rPr>
        <w:t>. izvršavani su u skladu s nadležnostima koje provodi Državno izborno povjerenstvo te u skladu s planiranim aktivnostima, a prikazani su u tablici kako slijedi:</w:t>
      </w:r>
    </w:p>
    <w:tbl>
      <w:tblPr>
        <w:tblW w:w="10029" w:type="dxa"/>
        <w:tblInd w:w="-431" w:type="dxa"/>
        <w:tblLook w:val="04A0" w:firstRow="1" w:lastRow="0" w:firstColumn="1" w:lastColumn="0" w:noHBand="0" w:noVBand="1"/>
      </w:tblPr>
      <w:tblGrid>
        <w:gridCol w:w="851"/>
        <w:gridCol w:w="1717"/>
        <w:gridCol w:w="1292"/>
        <w:gridCol w:w="1401"/>
        <w:gridCol w:w="1366"/>
        <w:gridCol w:w="1366"/>
        <w:gridCol w:w="1016"/>
        <w:gridCol w:w="1020"/>
      </w:tblGrid>
      <w:tr w:rsidR="008E4F3C" w:rsidRPr="008E4F3C" w14:paraId="4A9E9B4D" w14:textId="77777777" w:rsidTr="004C2F1B">
        <w:trPr>
          <w:trHeight w:val="592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1E1928A" w14:textId="77777777" w:rsidR="008E4F3C" w:rsidRPr="008E4F3C" w:rsidRDefault="008E4F3C" w:rsidP="008E4F3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E4F3C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RASHODI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5BF6BE8" w14:textId="7CCE5609" w:rsidR="008E4F3C" w:rsidRPr="008E4F3C" w:rsidRDefault="008E4F3C" w:rsidP="008E4F3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E4F3C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OSTVARENJE / IZVRŠENJE 1.-12.202</w:t>
            </w:r>
            <w:r w:rsidR="00630F4C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  <w:r w:rsidRPr="008E4F3C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B9B90D3" w14:textId="0B394F18" w:rsidR="008E4F3C" w:rsidRPr="008E4F3C" w:rsidRDefault="008E4F3C" w:rsidP="008E4F3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E4F3C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IZVORNI PLAN ILI REBALANS 202</w:t>
            </w:r>
            <w:r w:rsidR="00630F4C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A0FDDEC" w14:textId="6B521611" w:rsidR="008E4F3C" w:rsidRPr="008E4F3C" w:rsidRDefault="008E4F3C" w:rsidP="008E4F3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E4F3C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TEKUĆI PLAN 202</w:t>
            </w:r>
            <w:r w:rsidR="00630F4C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DC17688" w14:textId="045A7283" w:rsidR="008E4F3C" w:rsidRPr="008E4F3C" w:rsidRDefault="008E4F3C" w:rsidP="008E4F3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E4F3C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OSTVARENJE / IZVRŠENJE 1.-12.202</w:t>
            </w:r>
            <w:r w:rsidR="00630F4C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  <w:r w:rsidRPr="008E4F3C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1ED2A68" w14:textId="77777777" w:rsidR="008E4F3C" w:rsidRPr="008E4F3C" w:rsidRDefault="008E4F3C" w:rsidP="008E4F3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E4F3C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INDEKS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28099F1" w14:textId="77777777" w:rsidR="008E4F3C" w:rsidRPr="008E4F3C" w:rsidRDefault="008E4F3C" w:rsidP="008E4F3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E4F3C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INDEKS</w:t>
            </w:r>
          </w:p>
        </w:tc>
      </w:tr>
      <w:tr w:rsidR="008E4F3C" w:rsidRPr="008E4F3C" w14:paraId="134F6AEF" w14:textId="77777777" w:rsidTr="004C2F1B">
        <w:trPr>
          <w:trHeight w:hRule="exact" w:val="255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1B8B06A" w14:textId="77777777" w:rsidR="008E4F3C" w:rsidRPr="008E4F3C" w:rsidRDefault="008E4F3C" w:rsidP="008E4F3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E4F3C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554AB5F" w14:textId="77777777" w:rsidR="008E4F3C" w:rsidRPr="008E4F3C" w:rsidRDefault="008E4F3C" w:rsidP="008E4F3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E4F3C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C3F45AF" w14:textId="77777777" w:rsidR="008E4F3C" w:rsidRPr="008E4F3C" w:rsidRDefault="008E4F3C" w:rsidP="008E4F3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E4F3C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261332D" w14:textId="77777777" w:rsidR="008E4F3C" w:rsidRPr="008E4F3C" w:rsidRDefault="008E4F3C" w:rsidP="008E4F3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E4F3C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5F50EB5" w14:textId="77777777" w:rsidR="008E4F3C" w:rsidRPr="008E4F3C" w:rsidRDefault="008E4F3C" w:rsidP="008E4F3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E4F3C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541E290" w14:textId="77777777" w:rsidR="008E4F3C" w:rsidRPr="008E4F3C" w:rsidRDefault="008E4F3C" w:rsidP="008E4F3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E4F3C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6=5/2*100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B9D799D" w14:textId="77777777" w:rsidR="008E4F3C" w:rsidRPr="008E4F3C" w:rsidRDefault="008E4F3C" w:rsidP="008E4F3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E4F3C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7=5/4*100</w:t>
            </w:r>
          </w:p>
        </w:tc>
      </w:tr>
      <w:tr w:rsidR="00630F4C" w:rsidRPr="008E4F3C" w14:paraId="0BBBB4A5" w14:textId="77777777" w:rsidTr="004C2F1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FFB4" w14:textId="7777777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9507" w14:textId="21D1B55E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bCs/>
                <w:sz w:val="18"/>
                <w:szCs w:val="18"/>
                <w:lang w:val="en-GB" w:eastAsia="en-GB"/>
              </w:rPr>
            </w:pPr>
            <w:r w:rsidRPr="00630F4C">
              <w:rPr>
                <w:b/>
                <w:bCs/>
                <w:sz w:val="18"/>
                <w:szCs w:val="18"/>
              </w:rPr>
              <w:t>UKUPNI RASHODI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F1F5" w14:textId="17B68AB1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630F4C">
              <w:rPr>
                <w:b/>
                <w:bCs/>
                <w:sz w:val="20"/>
              </w:rPr>
              <w:t>1.593.464,49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F143" w14:textId="21F2600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630F4C">
              <w:rPr>
                <w:b/>
                <w:bCs/>
                <w:sz w:val="20"/>
              </w:rPr>
              <w:t>32.233.650,00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6617" w14:textId="368ADA02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630F4C">
              <w:rPr>
                <w:b/>
                <w:bCs/>
                <w:sz w:val="20"/>
              </w:rPr>
              <w:t>31.919.650,00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5686" w14:textId="5DF7AAAF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630F4C">
              <w:rPr>
                <w:b/>
                <w:bCs/>
                <w:sz w:val="20"/>
              </w:rPr>
              <w:t>31.147.482,79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282D" w14:textId="3C89E47F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630F4C">
              <w:rPr>
                <w:b/>
                <w:bCs/>
                <w:sz w:val="20"/>
              </w:rPr>
              <w:t>1.954,70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037D" w14:textId="2385AC4B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630F4C">
              <w:rPr>
                <w:b/>
                <w:bCs/>
                <w:sz w:val="20"/>
              </w:rPr>
              <w:t>97,58</w:t>
            </w:r>
          </w:p>
        </w:tc>
      </w:tr>
      <w:tr w:rsidR="00630F4C" w:rsidRPr="008E4F3C" w14:paraId="5DF0E53F" w14:textId="77777777" w:rsidTr="004C2F1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D670" w14:textId="4AD78A5E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bCs/>
                <w:sz w:val="18"/>
                <w:szCs w:val="18"/>
                <w:lang w:val="en-GB" w:eastAsia="en-GB"/>
              </w:rPr>
            </w:pPr>
            <w:r w:rsidRPr="00630F4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5EE1" w14:textId="5BA44F46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bCs/>
                <w:sz w:val="18"/>
                <w:szCs w:val="18"/>
                <w:lang w:val="en-GB" w:eastAsia="en-GB"/>
              </w:rPr>
            </w:pPr>
            <w:r w:rsidRPr="00630F4C">
              <w:rPr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AF90" w14:textId="6BC36056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630F4C">
              <w:rPr>
                <w:b/>
                <w:bCs/>
                <w:color w:val="000000"/>
                <w:sz w:val="20"/>
              </w:rPr>
              <w:t>1.574.323,49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E846" w14:textId="455B3FB6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630F4C">
              <w:rPr>
                <w:b/>
                <w:bCs/>
                <w:color w:val="000000"/>
                <w:sz w:val="20"/>
              </w:rPr>
              <w:t>32.186.230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B1C8" w14:textId="4329C449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630F4C">
              <w:rPr>
                <w:b/>
                <w:bCs/>
                <w:color w:val="000000"/>
                <w:sz w:val="20"/>
              </w:rPr>
              <w:t>31.872.230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EBCC" w14:textId="46C15209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630F4C">
              <w:rPr>
                <w:b/>
                <w:bCs/>
                <w:color w:val="000000"/>
                <w:sz w:val="20"/>
              </w:rPr>
              <w:t>31.116.688,86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B60A" w14:textId="007808D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630F4C">
              <w:rPr>
                <w:b/>
                <w:bCs/>
                <w:color w:val="000000"/>
                <w:sz w:val="20"/>
              </w:rPr>
              <w:t>1.976,51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A207" w14:textId="1785CEEF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630F4C">
              <w:rPr>
                <w:b/>
                <w:bCs/>
                <w:color w:val="000000"/>
                <w:sz w:val="20"/>
              </w:rPr>
              <w:t>97,63</w:t>
            </w:r>
          </w:p>
        </w:tc>
      </w:tr>
      <w:tr w:rsidR="00630F4C" w:rsidRPr="008E4F3C" w14:paraId="578FD489" w14:textId="77777777" w:rsidTr="004C2F1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81B7" w14:textId="50338A52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55E6" w14:textId="2079E095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Rashodi za zaposlene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1B51" w14:textId="25BAF7F3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886.089,90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C632" w14:textId="38777A36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1.304.900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48DA" w14:textId="1DA7498F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1.249.900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A11F" w14:textId="47B1F4C1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1.085.523,62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F882" w14:textId="61EEE48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122,51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4954" w14:textId="50D61F8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86,85</w:t>
            </w:r>
          </w:p>
        </w:tc>
      </w:tr>
      <w:tr w:rsidR="00630F4C" w:rsidRPr="008E4F3C" w14:paraId="613051E1" w14:textId="77777777" w:rsidTr="004C2F1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6E60" w14:textId="28F78CFE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3437" w14:textId="43CA790D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Plaće (Bruto)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E590" w14:textId="20992B0B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743.681,66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BF60" w14:textId="2F14FE2B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753B" w14:textId="536781CD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2A7C" w14:textId="16176D60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915.103,06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868D" w14:textId="73D8B5E9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123,05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AF35" w14:textId="5BC7A7CD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7AAF54E6" w14:textId="77777777" w:rsidTr="004C2F1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0579" w14:textId="67259055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3111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B98A" w14:textId="1C6F1621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Plaće za redovan rad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C105" w14:textId="00893908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741.723,10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A725" w14:textId="2B5D9DC8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1779" w14:textId="417ACC23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5F6A" w14:textId="656F1730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877.907,96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32E8" w14:textId="3DEA6FCF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118,36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E078" w14:textId="65D02526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6A854DF8" w14:textId="77777777" w:rsidTr="004C2F1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FEC1" w14:textId="6B06CA2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3113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0E0C" w14:textId="4ED5256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Plaće za prekovremeni rad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DDB1" w14:textId="6B64138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1.958,56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A88A" w14:textId="794E22FE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9CC8" w14:textId="45A15B5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9F03" w14:textId="7CA68A9E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37.195,10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27C1" w14:textId="2F95B20B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1.899,10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0602" w14:textId="1CDC0C1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667C4502" w14:textId="77777777" w:rsidTr="004C2F1B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1BBB" w14:textId="0CB13C89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9957" w14:textId="0520392B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Ostali rashodi za zaposlene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9896" w14:textId="6B0C2D4D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19.700,78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A79A" w14:textId="4D32DC48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BB8D" w14:textId="333992FE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ECB0" w14:textId="32976AB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19.428,51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D4F5" w14:textId="0BC41DA5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98,62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9D9D" w14:textId="7DB1FC68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088EE486" w14:textId="77777777" w:rsidTr="004C2F1B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47AD" w14:textId="7A6181E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3121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8B8C" w14:textId="1FA5859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Ostali rashodi za zaposlene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2936" w14:textId="50521D4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19.700,78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F507" w14:textId="793A73A6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E37C" w14:textId="5273AA5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F300" w14:textId="57C2A3A9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19.428,51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1082" w14:textId="5991A60E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98,62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05F8" w14:textId="439C462C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6F380E91" w14:textId="77777777" w:rsidTr="004C2F1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8BAB" w14:textId="71B3CA2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18A8" w14:textId="0FD221A1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Doprinosi na plaće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B07B" w14:textId="0086744E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122.707,46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5B83" w14:textId="4128966C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A1F5" w14:textId="4D1F8F04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0719" w14:textId="7B5B4669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150.992,05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34C7" w14:textId="317F566C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123,05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A94E" w14:textId="7D234113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5BEF2DC4" w14:textId="77777777" w:rsidTr="004C2F1B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CCD5" w14:textId="72BCDDF2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3132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E078" w14:textId="1FFD7A36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Doprinosi za obvezno zdravstveno osiguranje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344F" w14:textId="122C4AB1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122.707,46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96EF" w14:textId="483A267E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3FAA" w14:textId="79E38078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4BBB" w14:textId="35A90B7C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150.992,05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F8C9" w14:textId="40EF2FDB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123,05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052C" w14:textId="330BC4C5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104F0878" w14:textId="77777777" w:rsidTr="004C2F1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AEAB" w14:textId="3439ACF4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9045" w14:textId="4F77EC26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Materijalni rashodi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58BF" w14:textId="3F1981AB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676.818,56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7247" w14:textId="49AD4C56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7.049.157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CDEF" w14:textId="438D4D56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6.790.157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0FE3" w14:textId="1361DF64" w:rsidR="00630F4C" w:rsidRPr="00C229F2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C229F2">
              <w:rPr>
                <w:color w:val="000000"/>
                <w:sz w:val="20"/>
              </w:rPr>
              <w:t>6.254.251,93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2491" w14:textId="6CCBC231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924,07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DC38" w14:textId="0D858FD2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92,11</w:t>
            </w:r>
          </w:p>
        </w:tc>
      </w:tr>
      <w:tr w:rsidR="00630F4C" w:rsidRPr="008E4F3C" w14:paraId="75FFD194" w14:textId="77777777" w:rsidTr="00D6201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98F1" w14:textId="3B496BE6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3BFB" w14:textId="33C0186D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Naknade troškova zaposlenima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CB46" w14:textId="753B5204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54.439,74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1405" w14:textId="7FC64B9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EA9E" w14:textId="754F3F5D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9155" w14:textId="103F9086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38.164,45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2CF0" w14:textId="7402FB45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70,10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E2D6" w14:textId="316E697F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321D44DA" w14:textId="77777777" w:rsidTr="00D62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108D" w14:textId="16A8C7DC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lastRenderedPageBreak/>
              <w:t>3211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DFBF" w14:textId="225126FC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Službena putovanja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52DD" w14:textId="5B9BF3E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41.644,08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D621" w14:textId="08E8DF21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94C4" w14:textId="68C4B24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08E2" w14:textId="3A6DDCFC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26.020,54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8C3C" w14:textId="1F57EE31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62,48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B43C" w14:textId="0B598BEB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0856268B" w14:textId="77777777" w:rsidTr="00D6201A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3DFB" w14:textId="1FE0A01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3212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9767" w14:textId="341E8BD0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46BA" w14:textId="55943518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12.125,66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0E3D" w14:textId="31C5B6C8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E444" w14:textId="0901E110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080D" w14:textId="03FFEE1E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10.903,91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C498" w14:textId="249F715F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89,92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EE4F" w14:textId="13CD07DB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73FFD8DC" w14:textId="77777777" w:rsidTr="004C2F1B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4DCD" w14:textId="24E8E009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3213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B139" w14:textId="2C56246D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Stručno usavršavanje zaposlenika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CC60" w14:textId="6032F2A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670,00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2B4F" w14:textId="1D9441F2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4487" w14:textId="5BB2A0C0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A5D0" w14:textId="6A972359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1.240,00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144D" w14:textId="3B043FF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185,07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8BA3" w14:textId="2D16B8EE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4E4581D6" w14:textId="77777777" w:rsidTr="004C2F1B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584C" w14:textId="123D13C5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322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367F" w14:textId="09E89F6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Rashodi za materijal i energiju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8CA4" w14:textId="1FBD58A9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38.247,62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35A3" w14:textId="3DFF19C5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81AF" w14:textId="7E8C7441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FDC1" w14:textId="6917E6BF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59.629,04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8D28" w14:textId="679660BC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155,90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32A4" w14:textId="0F09FD5E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4593C301" w14:textId="77777777" w:rsidTr="004C2F1B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DACA" w14:textId="56235D28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3221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4E60" w14:textId="48D44458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8E4B" w14:textId="5FE34F75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20.819,85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AFC8" w14:textId="2E6C3125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7203" w14:textId="07A612A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9536" w14:textId="2E16A18C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41.979,77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1455" w14:textId="7D1B4DC2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201,63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C0F2" w14:textId="1B831725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4FC79CCD" w14:textId="77777777" w:rsidTr="004C2F1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D4F4" w14:textId="5D3FAD61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3223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7B72" w14:textId="7264396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Energija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7FFB" w14:textId="343F77C3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17.127,17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A988" w14:textId="01E2550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AF3C" w14:textId="62E49135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48B1" w14:textId="1DE97AE0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16.772,61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9B79" w14:textId="3CC7203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97,93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3D75" w14:textId="3E2C2584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571EB96A" w14:textId="77777777" w:rsidTr="004C2F1B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4282" w14:textId="561B4702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3224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4D7E" w14:textId="008552DC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Materijal i dijelovi za tekuće i investicijsko održavanje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B390" w14:textId="4F397AB0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203,10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7E84" w14:textId="6B248B8D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7AAD" w14:textId="740A835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07D4" w14:textId="7A3A5DD2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529,69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26B6" w14:textId="057971C3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260,80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CDAA" w14:textId="1F0E0588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742999AD" w14:textId="77777777" w:rsidTr="004C2F1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FC5C" w14:textId="1B828C6B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3225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41FE" w14:textId="47972CDB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Sitni inventar i autogume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8EAF" w14:textId="582286A6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97,50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8825" w14:textId="3F94733C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D29A" w14:textId="3D1591F9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2BA5" w14:textId="000D8A56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346,97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40A5" w14:textId="3F80396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355,87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BC68" w14:textId="3527685B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79EFA443" w14:textId="77777777" w:rsidTr="004C2F1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6F04" w14:textId="28BE4F74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EDB4" w14:textId="66E27A05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Rashodi za usluge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F8F7" w14:textId="4DE09DDF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535.293,61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0F1E" w14:textId="3D156202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E79C" w14:textId="785DB313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3339" w14:textId="0648578E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5.677.755,84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EC98" w14:textId="436E4170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1.060,68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69B9" w14:textId="77D14C7C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417F8F2D" w14:textId="77777777" w:rsidTr="004C2F1B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982C" w14:textId="5C539708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3231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B74F" w14:textId="788A7CD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Usluge telefona, interneta, pošte i prijevoza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3E1F" w14:textId="7354A80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12.887,16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FEBB" w14:textId="11BF0430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331C" w14:textId="681071C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9795" w14:textId="0836724E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83.581,72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03DF" w14:textId="444A5A3E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648,57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6C8F" w14:textId="7374E293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3DB0CC3D" w14:textId="77777777" w:rsidTr="004C2F1B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9A79" w14:textId="65FF6FD4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3232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E7BB" w14:textId="26A7A976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Usluge tekućeg i investicijskog  održavanja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A742" w14:textId="360BF126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15.507,47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5CE7" w14:textId="032F0458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E02A" w14:textId="3DC646A9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615A" w14:textId="3F8FCEE0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15.977,01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BF71" w14:textId="25651A8C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103,03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34BB" w14:textId="32B844C0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6CFF0E47" w14:textId="77777777" w:rsidTr="004C2F1B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25FD" w14:textId="16C81FAE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3233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2EFA" w14:textId="32F82B89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Usluge promidžbe i informiranja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2561" w14:textId="401C7543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5.630,25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DE0A" w14:textId="1ECB4FD4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23BD" w14:textId="78C22C3D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D81D" w14:textId="3826DBB6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370.854,10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8AD5" w14:textId="1761EC42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6.586,81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CCFF" w14:textId="22B15DB8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62DE955D" w14:textId="77777777" w:rsidTr="004C2F1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AA1D" w14:textId="7E0326D4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3234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D8CD" w14:textId="3952143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Komunalne usluge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0825" w14:textId="08E661F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4.804,70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147D" w14:textId="094968A6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B6DB" w14:textId="60405DF4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E4C8" w14:textId="4C5143BC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5.976,66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A97D" w14:textId="77051AAD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124,39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22A3" w14:textId="19DD6173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1E9CAE5A" w14:textId="77777777" w:rsidTr="004C2F1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FBF0" w14:textId="3C7124D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3235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CFED" w14:textId="2B780986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Zakupnine i najamnine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713F" w14:textId="0853E375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21.258,72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2F90" w14:textId="1549AF3C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918F" w14:textId="46D45F52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0A85" w14:textId="786B285C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109.797,34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558D" w14:textId="6FA7EA20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516,48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D5C4" w14:textId="17CDCAE8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2EBED92A" w14:textId="77777777" w:rsidTr="004C2F1B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669E" w14:textId="1288796C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3236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B6E1" w14:textId="4E7D9BF0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Zdravstvene i veterinarske usluge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BCC4" w14:textId="5FD28A9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1.776,00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7BAC" w14:textId="2B1BA8D6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78D5" w14:textId="5F28D562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6D40" w14:textId="55231BED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969,00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2356" w14:textId="10B114A4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54,56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9A71" w14:textId="74718EA6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663EA2F2" w14:textId="77777777" w:rsidTr="004C2F1B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DA53" w14:textId="548B88D4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3237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9997" w14:textId="3E1C645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Intelektualne i osobne usluge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FDDD" w14:textId="4949EBC4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23.006,26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D01E" w14:textId="33E6AC59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D7A7" w14:textId="336EAC9F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09D3" w14:textId="5350B2C4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240.556,21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8332" w14:textId="08399ED6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1.045,61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0111" w14:textId="258F3B2E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73401227" w14:textId="77777777" w:rsidTr="004C2F1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F97B" w14:textId="7AEBC1C4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3238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95D0" w14:textId="2FBAFC4B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Računalne usluge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13E5" w14:textId="1D83EE8E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428.296,81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0F09" w14:textId="69638EE2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93C1" w14:textId="2B6D6804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1187" w14:textId="64B89E0C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3.087.398,98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4DA5" w14:textId="6031ABDC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720,86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9878" w14:textId="6C9B0C8F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3C05CDCF" w14:textId="77777777" w:rsidTr="004C2F1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44D8" w14:textId="50B1704B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3239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1B36" w14:textId="0BE904C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Ostale usluge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D37D" w14:textId="3FC4027E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22.126,24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3967" w14:textId="5DA06281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F9D6" w14:textId="6CEFDAAF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6348" w14:textId="09954C1D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1.762.644,82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8125" w14:textId="6DAE51FD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7.966,31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46ED" w14:textId="538C4D98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15D3409F" w14:textId="77777777" w:rsidTr="004C2F1B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64A0" w14:textId="70E80C69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3394" w14:textId="26F80F9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Naknade troškova osobama izvan radnog odnosa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8C5C" w14:textId="4889B5A2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65DD" w14:textId="6609D38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8ADA" w14:textId="2204CD6B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B68B" w14:textId="6E3CB5BB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162.863,11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DB2C" w14:textId="2A14C67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F761" w14:textId="7A0E7CB2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15C0A7F6" w14:textId="77777777" w:rsidTr="004C2F1B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DB51" w14:textId="2418392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3241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9E2C" w14:textId="37FADF2D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Naknade troškova osobama izvan radnog odnosa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DF77" w14:textId="18D2C515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BE21" w14:textId="68DF7963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F965" w14:textId="6040C519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3F7B" w14:textId="46804F7E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162.863,11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1678" w14:textId="43766B04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D531" w14:textId="30F454E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16367EE9" w14:textId="77777777" w:rsidTr="004C2F1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3A7F" w14:textId="734FD815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329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E178" w14:textId="657B10D0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Ostali nespomenuti rashodi poslovanja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8F6F" w14:textId="170002F0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48.837,59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832C" w14:textId="767D6629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ED67" w14:textId="43C51CD8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47A9" w14:textId="4F5F06B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315.839,49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DD90" w14:textId="698698A9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646,71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9582" w14:textId="6B9B8274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533C2A71" w14:textId="77777777" w:rsidTr="004C2F1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6C96" w14:textId="785AB570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3291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9C52" w14:textId="0088E592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Naknade za rad predstavničkih i izvršnih tijela, povjerenstava i slično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C9DB" w14:textId="3F9DA658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41.539,44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CF1F" w14:textId="1E0344D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95C7" w14:textId="7E753296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D201" w14:textId="5A096758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306.062,41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3A9E" w14:textId="4B95042F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736,80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9977" w14:textId="2ECE4E46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40659CC3" w14:textId="77777777" w:rsidTr="004C2F1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2471" w14:textId="613970C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3292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D265" w14:textId="6E917D81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Premije osiguranja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7A9C" w14:textId="2B046221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557,46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6759" w14:textId="62354B60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8F68" w14:textId="3199955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6CF5" w14:textId="4A47412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557,46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ED95" w14:textId="34AB882B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739F" w14:textId="3393AD51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261F8C46" w14:textId="77777777" w:rsidTr="004C2F1B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C460" w14:textId="222D391D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3293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610E" w14:textId="3EC6B5D6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Reprezentacija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292F" w14:textId="40C6A77D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4.991,26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B469" w14:textId="20143C48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ECCB" w14:textId="43594FC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20FB" w14:textId="0EB7E21B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7.086,62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1321" w14:textId="5D9E9636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141,98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9995" w14:textId="27F58650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3946B4CC" w14:textId="77777777" w:rsidTr="004C2F1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142D" w14:textId="39E207A3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3295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C569" w14:textId="2CF04DD4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Pristojbe i naknade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166C" w14:textId="3C019964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1.664,43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1FCD" w14:textId="24665EBB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CAE7" w14:textId="064CF7C4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A1B6" w14:textId="44DBE9C8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1.988,00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99E2" w14:textId="16CB5D59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119,44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59FB" w14:textId="12C8D5CF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616BE84D" w14:textId="77777777" w:rsidTr="004C2F1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BBF1" w14:textId="0C6FA19F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3299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F17A" w14:textId="3E3CDFA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Ostali nespomenuti rashodi poslovanja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C8DC" w14:textId="6796700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85,00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7D35" w14:textId="115499C2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3990" w14:textId="759B5973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24F4" w14:textId="6180D4C9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145,00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5DBC" w14:textId="363DBC4E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170,59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DEDF" w14:textId="796DBF2B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54EE48F5" w14:textId="77777777" w:rsidTr="004C2F1B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C345" w14:textId="306BA3E2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D3C1" w14:textId="478AD8A6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Financijski rashodi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7AF6" w14:textId="3252F2D9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0,87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2620" w14:textId="03B07F0D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264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9602" w14:textId="1221E70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264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9249" w14:textId="1808E13B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1,69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BFE8" w14:textId="7260729F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194,25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E267" w14:textId="7DA2CBA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0,64</w:t>
            </w:r>
          </w:p>
        </w:tc>
      </w:tr>
      <w:tr w:rsidR="00630F4C" w:rsidRPr="008E4F3C" w14:paraId="6E6CA108" w14:textId="77777777" w:rsidTr="004C2F1B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BA0A" w14:textId="0372621F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lastRenderedPageBreak/>
              <w:t>343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0613" w14:textId="64D07EC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Ostali financijski rashodi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C4B8" w14:textId="788FBE93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0,87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9B11" w14:textId="3D8F10AD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94F3" w14:textId="347F9FAE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E37B" w14:textId="4E936FF1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1,69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97D0" w14:textId="1B8418AB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194,25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CDE6" w14:textId="35B312B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774F6AC7" w14:textId="77777777" w:rsidTr="004C2F1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9DC0" w14:textId="4B0AB32C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3433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B3AF" w14:textId="698AC93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Zatezne kamate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E762" w14:textId="3F40E89E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0,87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9E41" w14:textId="3828C0D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DCA3" w14:textId="0E7B41A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1576" w14:textId="02EBC8DD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1,69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04D9" w14:textId="5F186E71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194,25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960E" w14:textId="4751CE8D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57AD2A35" w14:textId="77777777" w:rsidTr="004C2F1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5E03" w14:textId="35086BE0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36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6D89" w14:textId="6117B961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EF72" w14:textId="286DC779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B79D" w14:textId="4F21906E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20.966.909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DBA7" w14:textId="2AADBD88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20.966.909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526E" w14:textId="2B595F0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20.912.799,18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5214" w14:textId="1E9FCD90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9683" w14:textId="09A8ACA4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99,74</w:t>
            </w:r>
          </w:p>
        </w:tc>
      </w:tr>
      <w:tr w:rsidR="00630F4C" w:rsidRPr="008E4F3C" w14:paraId="5A923479" w14:textId="77777777" w:rsidTr="004C2F1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0E98" w14:textId="0AC01C13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363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A0CF" w14:textId="4C571883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Pomoći drugom proračunu i izvanproračunskim korisnicima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D288" w14:textId="26F3B9C4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811F" w14:textId="6F2A51CB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7AAC" w14:textId="4590BE6C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EE5B" w14:textId="03ABBD3F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20.912.799,18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D2AE" w14:textId="6E87D274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2AD7" w14:textId="6BA1B1A9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67B38A2A" w14:textId="77777777" w:rsidTr="004C2F1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F2E7" w14:textId="6952E42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3631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65CD" w14:textId="6F429DBD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Tekuće pomoći drugom proračunu i izvanproračunskim korisnicima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5A2B" w14:textId="3529949C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DE4A" w14:textId="1736F406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9F56" w14:textId="323C4B5E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9A01" w14:textId="5D53AFC5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20.912.799,18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0A8F" w14:textId="6E8B04FC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BC88" w14:textId="664B3161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28D23D2F" w14:textId="77777777" w:rsidTr="004C2F1B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6883" w14:textId="4D30549C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bCs/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6213" w14:textId="476DA0C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bCs/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4FBE" w14:textId="69F0A9A8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11.414,16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E185" w14:textId="1261F03C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2.865.000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9FAF" w14:textId="76B8D315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2.865.000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B37F" w14:textId="6C36671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2.864.112,44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EE72" w14:textId="597937E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25.092,63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670D" w14:textId="4D665352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b/>
                <w:bCs/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99,97</w:t>
            </w:r>
          </w:p>
        </w:tc>
      </w:tr>
      <w:tr w:rsidR="00630F4C" w:rsidRPr="008E4F3C" w14:paraId="0E55DDA6" w14:textId="77777777" w:rsidTr="004C2F1B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F749" w14:textId="4DD2AE24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381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82BD" w14:textId="43197010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Tekuće donacije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509E" w14:textId="6DBA814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11.414,16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B3F0" w14:textId="26FE6653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BF4E" w14:textId="08A8366D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C0E5" w14:textId="0C40DA4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2.864.112,44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D573" w14:textId="227271C2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25.092,63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88D3" w14:textId="1B82DD12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6AA16822" w14:textId="77777777" w:rsidTr="004C2F1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D85D" w14:textId="1B753D99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3811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1DF6" w14:textId="38CF958F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Tekuće donacije u novcu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265C" w14:textId="547829B1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11.414,16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4F8C" w14:textId="20E445BE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6336" w14:textId="705446B6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CEAF" w14:textId="17B53701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2.864.112,44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CEAA" w14:textId="4769C858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25.092,63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275A" w14:textId="4037C41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60772768" w14:textId="77777777" w:rsidTr="004C2F1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C248" w14:textId="653B023C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2D82" w14:textId="1120A1D9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9689" w14:textId="2F62E8B9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b/>
                <w:bCs/>
                <w:color w:val="000000"/>
                <w:sz w:val="20"/>
              </w:rPr>
              <w:t>19.141,00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FC75" w14:textId="510407B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b/>
                <w:bCs/>
                <w:color w:val="000000"/>
                <w:sz w:val="20"/>
              </w:rPr>
              <w:t>47.420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E38E" w14:textId="560DC69C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b/>
                <w:bCs/>
                <w:color w:val="000000"/>
                <w:sz w:val="20"/>
              </w:rPr>
              <w:t>47.420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8A43" w14:textId="51AF8F8C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b/>
                <w:bCs/>
                <w:color w:val="000000"/>
                <w:sz w:val="20"/>
              </w:rPr>
              <w:t>30.793,93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17B6" w14:textId="703C42B1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b/>
                <w:bCs/>
                <w:color w:val="000000"/>
                <w:sz w:val="20"/>
              </w:rPr>
              <w:t>160,88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861F" w14:textId="2E2500BC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b/>
                <w:bCs/>
                <w:color w:val="000000"/>
                <w:sz w:val="20"/>
              </w:rPr>
              <w:t>64,94</w:t>
            </w:r>
          </w:p>
        </w:tc>
      </w:tr>
      <w:tr w:rsidR="00630F4C" w:rsidRPr="008E4F3C" w14:paraId="685320AF" w14:textId="77777777" w:rsidTr="004C2F1B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99F2" w14:textId="3C00528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42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B898" w14:textId="58A7D100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9DB3" w14:textId="1B29A70E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19.141,00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A6E1" w14:textId="4FDAB4B3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47.420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F12F" w14:textId="507BD4AD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47.420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8433" w14:textId="01DD396F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30.793,93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5032" w14:textId="1F3297EB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160,88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8CCC" w14:textId="1B9B8F74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64,94</w:t>
            </w:r>
          </w:p>
        </w:tc>
      </w:tr>
      <w:tr w:rsidR="00630F4C" w:rsidRPr="008E4F3C" w14:paraId="5AE3D59E" w14:textId="77777777" w:rsidTr="004C2F1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CAB7" w14:textId="76D2D386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422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B2F5" w14:textId="48FE022E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Postrojenja i oprema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5118" w14:textId="22F1E68E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19.141,00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FBBA" w14:textId="35269E7E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1200" w14:textId="259B1780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2E31" w14:textId="627402E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20.066,49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DD60" w14:textId="79CF580E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104,84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81F8" w14:textId="227216FC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40FCD5C5" w14:textId="77777777" w:rsidTr="004C2F1B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F606" w14:textId="3B68B6A5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4221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2609" w14:textId="34B367A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Uredska oprema i namještaj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09CD" w14:textId="2D48118A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15.089,06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D1D8" w14:textId="40D59B59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132E" w14:textId="5DB5725B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78AA" w14:textId="7D04271D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13.610,61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115D" w14:textId="55BBF998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90,20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DD26" w14:textId="27632F9C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7D8C1C5F" w14:textId="77777777" w:rsidTr="004C2F1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ADAC" w14:textId="48D93B98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4222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87C8" w14:textId="5146936C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Komunikacijska oprema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FDDD" w14:textId="0DE5FE5F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3.171,76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EAF1" w14:textId="4B5C3709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E95B" w14:textId="2BB83AC6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1EAE" w14:textId="62DB5461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6.455,88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ABC9" w14:textId="3DED64EB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203,54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2F29" w14:textId="5745601D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2C18D7FB" w14:textId="77777777" w:rsidTr="004C2F1B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58AF" w14:textId="5C159DD0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4223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E1E7" w14:textId="5DD3A433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Oprema za održavanje i zaštitu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3AD4" w14:textId="5D9FC1B5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307,50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B4AD" w14:textId="54D717DE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2CA2" w14:textId="5ABB74B1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3040" w14:textId="64788A5B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C238" w14:textId="7F60C003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B64F" w14:textId="3DB33611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06C30BCD" w14:textId="77777777" w:rsidTr="004C2F1B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8582" w14:textId="6B87CB3F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4227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773" w14:textId="45D3770D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Uređaji, strojevi i oprema za ostale namjene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8DD8" w14:textId="40887FB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572,68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73DA" w14:textId="4F986B91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70F9" w14:textId="25637C95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E72E" w14:textId="74AF30F9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D11C" w14:textId="7FF6C048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13B0" w14:textId="383B85DD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41F973F8" w14:textId="77777777" w:rsidTr="004C2F1B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94E8" w14:textId="0C4B4FE9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</w:rPr>
            </w:pPr>
            <w:r w:rsidRPr="00630F4C">
              <w:rPr>
                <w:sz w:val="18"/>
                <w:szCs w:val="18"/>
              </w:rPr>
              <w:t>426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5F93" w14:textId="5C8AFE0B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Nematerijalna proizvedena imovina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5555" w14:textId="7777777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69EE" w14:textId="7777777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7B750" w14:textId="7777777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0489D" w14:textId="5E8B44ED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10.727,44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6CA0" w14:textId="7777777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1BCE" w14:textId="7777777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  <w:tr w:rsidR="00630F4C" w:rsidRPr="008E4F3C" w14:paraId="2E710EE6" w14:textId="77777777" w:rsidTr="004C2F1B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CB89" w14:textId="404550E5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</w:rPr>
            </w:pPr>
            <w:r w:rsidRPr="00630F4C">
              <w:rPr>
                <w:sz w:val="18"/>
                <w:szCs w:val="18"/>
              </w:rPr>
              <w:t>4262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0377" w14:textId="5B40E168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8"/>
                <w:szCs w:val="18"/>
                <w:lang w:val="en-GB" w:eastAsia="en-GB"/>
              </w:rPr>
            </w:pPr>
            <w:r w:rsidRPr="00630F4C">
              <w:rPr>
                <w:sz w:val="18"/>
                <w:szCs w:val="18"/>
              </w:rPr>
              <w:t>Ulaganja u računalne programe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CA4A7" w14:textId="7777777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6BE5" w14:textId="7777777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DFC5" w14:textId="7777777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6F85" w14:textId="1FE0298B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  <w:r w:rsidRPr="00630F4C">
              <w:rPr>
                <w:color w:val="000000"/>
                <w:sz w:val="20"/>
              </w:rPr>
              <w:t>10.727,44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0AF9" w14:textId="7777777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BB24" w14:textId="77777777" w:rsidR="00630F4C" w:rsidRPr="00630F4C" w:rsidRDefault="00630F4C" w:rsidP="00630F4C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 w:val="20"/>
                <w:lang w:val="en-GB" w:eastAsia="en-GB"/>
              </w:rPr>
            </w:pPr>
          </w:p>
        </w:tc>
      </w:tr>
    </w:tbl>
    <w:p w14:paraId="786D68CA" w14:textId="77777777" w:rsidR="00CF3C15" w:rsidRDefault="00CF3C15" w:rsidP="004C2F1B">
      <w:pPr>
        <w:rPr>
          <w:sz w:val="24"/>
          <w:szCs w:val="24"/>
        </w:rPr>
      </w:pPr>
    </w:p>
    <w:p w14:paraId="73C097A6" w14:textId="7F32DDD5" w:rsidR="004C2F1B" w:rsidRDefault="004C2F1B" w:rsidP="004C2F1B">
      <w:pPr>
        <w:rPr>
          <w:sz w:val="24"/>
          <w:szCs w:val="24"/>
        </w:rPr>
      </w:pPr>
      <w:r w:rsidRPr="00736AE7">
        <w:rPr>
          <w:sz w:val="24"/>
          <w:szCs w:val="24"/>
        </w:rPr>
        <w:t xml:space="preserve">Ukupni rashodi odnosno izdaci su u odnosu na prethodnu godinu višestruko povećani. </w:t>
      </w:r>
      <w:r w:rsidR="00D73289" w:rsidRPr="00736AE7">
        <w:rPr>
          <w:sz w:val="24"/>
          <w:szCs w:val="24"/>
        </w:rPr>
        <w:t xml:space="preserve">Najznačajni rast </w:t>
      </w:r>
      <w:r w:rsidR="00736AE7" w:rsidRPr="00736AE7">
        <w:rPr>
          <w:sz w:val="24"/>
          <w:szCs w:val="24"/>
        </w:rPr>
        <w:t>odnosi se na rashoda povezane</w:t>
      </w:r>
      <w:r w:rsidR="00D73289" w:rsidRPr="00736AE7">
        <w:rPr>
          <w:sz w:val="24"/>
          <w:szCs w:val="24"/>
        </w:rPr>
        <w:t xml:space="preserve"> sa </w:t>
      </w:r>
      <w:r w:rsidR="00736AE7" w:rsidRPr="00736AE7">
        <w:rPr>
          <w:sz w:val="24"/>
          <w:szCs w:val="24"/>
        </w:rPr>
        <w:t>provedbom izborne</w:t>
      </w:r>
      <w:r w:rsidR="00D73289" w:rsidRPr="00736AE7">
        <w:rPr>
          <w:sz w:val="24"/>
          <w:szCs w:val="24"/>
        </w:rPr>
        <w:t xml:space="preserve"> aktivnosti Državnog izborno</w:t>
      </w:r>
      <w:r w:rsidR="00485303" w:rsidRPr="00736AE7">
        <w:rPr>
          <w:sz w:val="24"/>
          <w:szCs w:val="24"/>
        </w:rPr>
        <w:t>g</w:t>
      </w:r>
      <w:r w:rsidR="00D73289" w:rsidRPr="00736AE7">
        <w:rPr>
          <w:sz w:val="24"/>
          <w:szCs w:val="24"/>
        </w:rPr>
        <w:t xml:space="preserve"> </w:t>
      </w:r>
      <w:r w:rsidR="00485303" w:rsidRPr="00736AE7">
        <w:rPr>
          <w:sz w:val="24"/>
          <w:szCs w:val="24"/>
        </w:rPr>
        <w:t xml:space="preserve">povjerenstva. </w:t>
      </w:r>
      <w:r w:rsidRPr="00736AE7">
        <w:rPr>
          <w:sz w:val="24"/>
          <w:szCs w:val="24"/>
        </w:rPr>
        <w:t>Do takvog znatnog odstupanja došlo</w:t>
      </w:r>
      <w:r w:rsidR="00485303" w:rsidRPr="00736AE7">
        <w:rPr>
          <w:sz w:val="24"/>
          <w:szCs w:val="24"/>
        </w:rPr>
        <w:t xml:space="preserve"> je</w:t>
      </w:r>
      <w:r w:rsidRPr="00736AE7">
        <w:rPr>
          <w:sz w:val="24"/>
          <w:szCs w:val="24"/>
        </w:rPr>
        <w:t xml:space="preserve"> zbog održavanja većeg broja izbora na državnoj razini u 2024. i to: izbora zastupnika u Hrvatski sabor, izbora članova u Europski parlament iz Republike Hrvatske te izbora za predsjednika Republike Hrvatske (I. krug), dok su u 2023. održani samo izbori za članove vijeća i predstavnike nacionalnih manjina u jedinicama lokalne i područne (regionalne) </w:t>
      </w:r>
      <w:r w:rsidRPr="00D6201A">
        <w:rPr>
          <w:sz w:val="24"/>
          <w:szCs w:val="24"/>
        </w:rPr>
        <w:t>samouprave.</w:t>
      </w:r>
    </w:p>
    <w:p w14:paraId="3E86C300" w14:textId="5AB10636" w:rsidR="004C2F1B" w:rsidRDefault="004C2F1B" w:rsidP="004C2F1B">
      <w:pPr>
        <w:rPr>
          <w:sz w:val="24"/>
          <w:szCs w:val="24"/>
        </w:rPr>
      </w:pPr>
      <w:r>
        <w:rPr>
          <w:sz w:val="24"/>
          <w:szCs w:val="24"/>
        </w:rPr>
        <w:t xml:space="preserve">Sukladno zakonskim propisima sredstva </w:t>
      </w:r>
      <w:r w:rsidRPr="00374209">
        <w:rPr>
          <w:sz w:val="24"/>
          <w:szCs w:val="24"/>
        </w:rPr>
        <w:t xml:space="preserve">za pokriće </w:t>
      </w:r>
      <w:r>
        <w:rPr>
          <w:sz w:val="24"/>
          <w:szCs w:val="24"/>
        </w:rPr>
        <w:t>svih</w:t>
      </w:r>
      <w:r w:rsidRPr="00374209">
        <w:rPr>
          <w:sz w:val="24"/>
          <w:szCs w:val="24"/>
        </w:rPr>
        <w:t xml:space="preserve"> troškova </w:t>
      </w:r>
      <w:r>
        <w:rPr>
          <w:sz w:val="24"/>
          <w:szCs w:val="24"/>
        </w:rPr>
        <w:t xml:space="preserve">održavanja odnosno provedbe izbora na državnoj razini </w:t>
      </w:r>
      <w:r w:rsidRPr="00374209">
        <w:rPr>
          <w:sz w:val="24"/>
          <w:szCs w:val="24"/>
        </w:rPr>
        <w:t>osiguravaju</w:t>
      </w:r>
      <w:r w:rsidR="00F26B5A">
        <w:rPr>
          <w:sz w:val="24"/>
          <w:szCs w:val="24"/>
        </w:rPr>
        <w:t xml:space="preserve"> se</w:t>
      </w:r>
      <w:r w:rsidRPr="00374209">
        <w:rPr>
          <w:sz w:val="24"/>
          <w:szCs w:val="24"/>
        </w:rPr>
        <w:t xml:space="preserve"> u državnom proračunu Republike Hrvatske na razdjelu Državnog izbornog povjerenstva</w:t>
      </w:r>
      <w:r w:rsidRPr="002E5B04">
        <w:rPr>
          <w:sz w:val="24"/>
          <w:szCs w:val="24"/>
        </w:rPr>
        <w:t>. Upravo</w:t>
      </w:r>
      <w:r>
        <w:rPr>
          <w:sz w:val="24"/>
          <w:szCs w:val="24"/>
        </w:rPr>
        <w:t xml:space="preserve"> je to razlog značajnog odstupanja ostvarenja u 2024. u odnosu na izvješta</w:t>
      </w:r>
      <w:r w:rsidR="00485303">
        <w:rPr>
          <w:sz w:val="24"/>
          <w:szCs w:val="24"/>
        </w:rPr>
        <w:t>jno razdoblje prethodne godine.</w:t>
      </w:r>
    </w:p>
    <w:p w14:paraId="63BC3FF1" w14:textId="130920FB" w:rsidR="00485303" w:rsidRDefault="00485303" w:rsidP="004C2F1B">
      <w:pPr>
        <w:rPr>
          <w:sz w:val="24"/>
          <w:szCs w:val="24"/>
        </w:rPr>
      </w:pPr>
      <w:r>
        <w:rPr>
          <w:sz w:val="24"/>
          <w:szCs w:val="24"/>
        </w:rPr>
        <w:t xml:space="preserve">Ukupni rashodi odnosno izdaci vezani uz redovnu aktivnost Državnog izbornog povjerenstva povećani </w:t>
      </w:r>
      <w:r w:rsidR="00CF3C15">
        <w:rPr>
          <w:sz w:val="24"/>
          <w:szCs w:val="24"/>
        </w:rPr>
        <w:t xml:space="preserve">su </w:t>
      </w:r>
      <w:r>
        <w:rPr>
          <w:sz w:val="24"/>
          <w:szCs w:val="24"/>
        </w:rPr>
        <w:t>u odnosu na prethodnu godinu</w:t>
      </w:r>
      <w:r w:rsidR="00CF3C15">
        <w:rPr>
          <w:sz w:val="24"/>
          <w:szCs w:val="24"/>
        </w:rPr>
        <w:t xml:space="preserve"> za 52,87%</w:t>
      </w:r>
      <w:r>
        <w:rPr>
          <w:sz w:val="24"/>
          <w:szCs w:val="24"/>
        </w:rPr>
        <w:t xml:space="preserve">. </w:t>
      </w:r>
      <w:r w:rsidR="00736AE7">
        <w:rPr>
          <w:sz w:val="24"/>
          <w:szCs w:val="24"/>
        </w:rPr>
        <w:t>O</w:t>
      </w:r>
      <w:r>
        <w:rPr>
          <w:sz w:val="24"/>
          <w:szCs w:val="24"/>
        </w:rPr>
        <w:t xml:space="preserve">dstupanje </w:t>
      </w:r>
      <w:r w:rsidR="00736AE7">
        <w:rPr>
          <w:sz w:val="24"/>
          <w:szCs w:val="24"/>
        </w:rPr>
        <w:t>se odnosi</w:t>
      </w:r>
      <w:r>
        <w:rPr>
          <w:sz w:val="24"/>
          <w:szCs w:val="24"/>
        </w:rPr>
        <w:t xml:space="preserve"> na </w:t>
      </w:r>
      <w:r w:rsidR="00736AE7">
        <w:rPr>
          <w:sz w:val="24"/>
          <w:szCs w:val="24"/>
        </w:rPr>
        <w:t xml:space="preserve">porast rashoda </w:t>
      </w:r>
      <w:r w:rsidR="00736AE7">
        <w:rPr>
          <w:sz w:val="24"/>
          <w:szCs w:val="24"/>
        </w:rPr>
        <w:lastRenderedPageBreak/>
        <w:t>za zaposlene do kojeg je došlo zbog povećanja plaća državnih dužnosnika tijekom 2024., povećanog broja prekovremenih sati (zbog provedbe izbora) te promjene koeficijenata pojedinih službenika.</w:t>
      </w:r>
      <w:r w:rsidR="00CF3C15">
        <w:rPr>
          <w:sz w:val="24"/>
          <w:szCs w:val="24"/>
        </w:rPr>
        <w:t xml:space="preserve"> Isto tako u odnosu na prethodnu godini povećani su rashodi za zakupn</w:t>
      </w:r>
      <w:r w:rsidR="00A02864">
        <w:rPr>
          <w:sz w:val="24"/>
          <w:szCs w:val="24"/>
        </w:rPr>
        <w:t>in</w:t>
      </w:r>
      <w:r w:rsidR="00CF3C15">
        <w:rPr>
          <w:sz w:val="24"/>
          <w:szCs w:val="24"/>
        </w:rPr>
        <w:t>e i najamnine</w:t>
      </w:r>
      <w:r w:rsidR="00A02864">
        <w:rPr>
          <w:sz w:val="24"/>
          <w:szCs w:val="24"/>
        </w:rPr>
        <w:t xml:space="preserve"> –</w:t>
      </w:r>
      <w:r w:rsidR="00B03C42">
        <w:rPr>
          <w:sz w:val="24"/>
          <w:szCs w:val="24"/>
        </w:rPr>
        <w:t xml:space="preserve"> </w:t>
      </w:r>
      <w:r w:rsidR="00A02864">
        <w:rPr>
          <w:sz w:val="24"/>
          <w:szCs w:val="24"/>
        </w:rPr>
        <w:t>zbog najma sustava za uredsko poslovanje</w:t>
      </w:r>
      <w:r w:rsidR="00CF3C15">
        <w:rPr>
          <w:sz w:val="24"/>
          <w:szCs w:val="24"/>
        </w:rPr>
        <w:t>, te rashodi za računalne usluge</w:t>
      </w:r>
      <w:r w:rsidR="00A02864">
        <w:rPr>
          <w:sz w:val="24"/>
          <w:szCs w:val="24"/>
        </w:rPr>
        <w:t xml:space="preserve"> zbog porasta cijena usluga neophodnih za odvijanje redovnog poslovanja te korištenja novih usluga (uvođenje antivirusne zaštite te povezivanja </w:t>
      </w:r>
      <w:r w:rsidR="00B03C42">
        <w:rPr>
          <w:sz w:val="24"/>
          <w:szCs w:val="24"/>
        </w:rPr>
        <w:t xml:space="preserve">jednog od </w:t>
      </w:r>
      <w:r w:rsidR="00A02864">
        <w:rPr>
          <w:sz w:val="24"/>
          <w:szCs w:val="24"/>
        </w:rPr>
        <w:t>postojeć</w:t>
      </w:r>
      <w:r w:rsidR="00B03C42">
        <w:rPr>
          <w:sz w:val="24"/>
          <w:szCs w:val="24"/>
        </w:rPr>
        <w:t>ih izbornih</w:t>
      </w:r>
      <w:r w:rsidR="00A02864">
        <w:rPr>
          <w:sz w:val="24"/>
          <w:szCs w:val="24"/>
        </w:rPr>
        <w:t xml:space="preserve"> informacijsk</w:t>
      </w:r>
      <w:r w:rsidR="00B03C42">
        <w:rPr>
          <w:sz w:val="24"/>
          <w:szCs w:val="24"/>
        </w:rPr>
        <w:t>ih</w:t>
      </w:r>
      <w:r w:rsidR="00A02864">
        <w:rPr>
          <w:sz w:val="24"/>
          <w:szCs w:val="24"/>
        </w:rPr>
        <w:t xml:space="preserve"> sustava sa sustavom za uredsko poslovanje i sl.).</w:t>
      </w:r>
    </w:p>
    <w:p w14:paraId="035BF2B6" w14:textId="370D4C5E" w:rsidR="00CF3C15" w:rsidRDefault="00CF3C15" w:rsidP="00CF3C15">
      <w:pPr>
        <w:rPr>
          <w:sz w:val="24"/>
          <w:szCs w:val="24"/>
        </w:rPr>
      </w:pPr>
      <w:r w:rsidRPr="004C2F1B">
        <w:rPr>
          <w:sz w:val="24"/>
          <w:szCs w:val="24"/>
        </w:rPr>
        <w:t xml:space="preserve">Ukupni rashodi tekućeg plana za 2024. </w:t>
      </w:r>
      <w:r>
        <w:rPr>
          <w:sz w:val="24"/>
          <w:szCs w:val="24"/>
        </w:rPr>
        <w:t>planirani</w:t>
      </w:r>
      <w:r w:rsidRPr="004C2F1B">
        <w:rPr>
          <w:sz w:val="24"/>
          <w:szCs w:val="24"/>
        </w:rPr>
        <w:t xml:space="preserve"> su u iznosu od 31.919.650,00 </w:t>
      </w:r>
      <w:r w:rsidR="00D6201A">
        <w:rPr>
          <w:sz w:val="24"/>
          <w:szCs w:val="24"/>
        </w:rPr>
        <w:t>eura</w:t>
      </w:r>
      <w:r w:rsidR="00D6201A" w:rsidRPr="004C2F1B">
        <w:rPr>
          <w:sz w:val="24"/>
          <w:szCs w:val="24"/>
        </w:rPr>
        <w:t xml:space="preserve"> </w:t>
      </w:r>
      <w:r w:rsidRPr="004C2F1B">
        <w:rPr>
          <w:sz w:val="24"/>
          <w:szCs w:val="24"/>
        </w:rPr>
        <w:t xml:space="preserve">dok je u razdoblju od 1. siječnja do 31. prosinca 2024. utrošeno 31.147.482,79 </w:t>
      </w:r>
      <w:r w:rsidR="00D6201A">
        <w:rPr>
          <w:sz w:val="24"/>
          <w:szCs w:val="24"/>
        </w:rPr>
        <w:t>eura</w:t>
      </w:r>
      <w:r w:rsidRPr="004C2F1B">
        <w:rPr>
          <w:sz w:val="24"/>
          <w:szCs w:val="24"/>
        </w:rPr>
        <w:t xml:space="preserve"> odnosno 97,58 %. </w:t>
      </w:r>
    </w:p>
    <w:p w14:paraId="0F201E18" w14:textId="273A1443" w:rsidR="00FB28BD" w:rsidRPr="00C26B40" w:rsidRDefault="006430B8" w:rsidP="00FB28BD">
      <w:pPr>
        <w:rPr>
          <w:sz w:val="24"/>
          <w:szCs w:val="24"/>
        </w:rPr>
      </w:pPr>
      <w:r>
        <w:rPr>
          <w:sz w:val="24"/>
          <w:szCs w:val="24"/>
        </w:rPr>
        <w:t xml:space="preserve">Rashodi za zaposlene planirani su u iznosu od </w:t>
      </w:r>
      <w:r w:rsidR="00124AF9" w:rsidRPr="00124AF9">
        <w:rPr>
          <w:sz w:val="24"/>
          <w:szCs w:val="24"/>
        </w:rPr>
        <w:t>1.249.900</w:t>
      </w:r>
      <w:r w:rsidR="00124AF9">
        <w:rPr>
          <w:sz w:val="24"/>
          <w:szCs w:val="24"/>
        </w:rPr>
        <w:t xml:space="preserve">,00 </w:t>
      </w:r>
      <w:r w:rsidR="00D6201A">
        <w:rPr>
          <w:sz w:val="24"/>
          <w:szCs w:val="24"/>
        </w:rPr>
        <w:t>eura</w:t>
      </w:r>
      <w:r w:rsidR="00D620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 je utrošeno </w:t>
      </w:r>
      <w:r w:rsidR="00124AF9" w:rsidRPr="00124AF9">
        <w:rPr>
          <w:sz w:val="24"/>
          <w:szCs w:val="24"/>
        </w:rPr>
        <w:t>1.085.523,62</w:t>
      </w:r>
      <w:r w:rsidR="00124AF9">
        <w:rPr>
          <w:sz w:val="24"/>
          <w:szCs w:val="24"/>
        </w:rPr>
        <w:t xml:space="preserve"> </w:t>
      </w:r>
      <w:bookmarkStart w:id="0" w:name="_GoBack"/>
      <w:r w:rsidR="00D6201A">
        <w:rPr>
          <w:sz w:val="24"/>
          <w:szCs w:val="24"/>
        </w:rPr>
        <w:t>eur</w:t>
      </w:r>
      <w:bookmarkEnd w:id="0"/>
      <w:r w:rsidR="00D6201A">
        <w:rPr>
          <w:sz w:val="24"/>
          <w:szCs w:val="24"/>
        </w:rPr>
        <w:t>a</w:t>
      </w:r>
      <w:r>
        <w:rPr>
          <w:sz w:val="24"/>
          <w:szCs w:val="24"/>
        </w:rPr>
        <w:t xml:space="preserve"> odnosno </w:t>
      </w:r>
      <w:r w:rsidR="00124AF9">
        <w:rPr>
          <w:sz w:val="24"/>
          <w:szCs w:val="24"/>
        </w:rPr>
        <w:t>86,85</w:t>
      </w:r>
      <w:r>
        <w:rPr>
          <w:sz w:val="24"/>
          <w:szCs w:val="24"/>
        </w:rPr>
        <w:t xml:space="preserve">%. Najznačajniji dio rashoda za zaposlene odnosio se na plaće za redovan rad u iznosu od </w:t>
      </w:r>
      <w:r w:rsidR="00124AF9" w:rsidRPr="00124AF9">
        <w:rPr>
          <w:sz w:val="24"/>
          <w:szCs w:val="24"/>
        </w:rPr>
        <w:t>877.907,96</w:t>
      </w:r>
      <w:r w:rsidR="00124AF9">
        <w:rPr>
          <w:sz w:val="24"/>
          <w:szCs w:val="24"/>
        </w:rPr>
        <w:t xml:space="preserve"> </w:t>
      </w:r>
      <w:r w:rsidR="00D6201A">
        <w:rPr>
          <w:sz w:val="24"/>
          <w:szCs w:val="24"/>
        </w:rPr>
        <w:t>eura</w:t>
      </w:r>
      <w:r>
        <w:rPr>
          <w:sz w:val="24"/>
          <w:szCs w:val="24"/>
        </w:rPr>
        <w:t xml:space="preserve">. </w:t>
      </w:r>
      <w:r w:rsidR="00FB28BD">
        <w:rPr>
          <w:sz w:val="24"/>
          <w:szCs w:val="24"/>
        </w:rPr>
        <w:t xml:space="preserve">Broj zaposlenih je u 2024. ostao na istoj razini kao i u 2023. međutim tijekom godine je došlo do promjene odnosno značajnog rasta bruto plaća državnih dužnosnika temeljem Odluke o visini osnovice za obračun plaća državnih dužnosnika koja je stupila na snagu 25. srpnja 2024. (rast osnovice sa iznosa od 516,29 </w:t>
      </w:r>
      <w:r w:rsidR="00D6201A">
        <w:rPr>
          <w:sz w:val="24"/>
          <w:szCs w:val="24"/>
        </w:rPr>
        <w:t xml:space="preserve">eura </w:t>
      </w:r>
      <w:r w:rsidR="00FB28BD">
        <w:rPr>
          <w:sz w:val="24"/>
          <w:szCs w:val="24"/>
        </w:rPr>
        <w:t xml:space="preserve">na iznos od 947,18 </w:t>
      </w:r>
      <w:r w:rsidR="00D6201A">
        <w:rPr>
          <w:sz w:val="24"/>
          <w:szCs w:val="24"/>
        </w:rPr>
        <w:t>eura</w:t>
      </w:r>
      <w:r w:rsidR="00FB28BD">
        <w:rPr>
          <w:sz w:val="24"/>
          <w:szCs w:val="24"/>
        </w:rPr>
        <w:t xml:space="preserve">) te rasta bruto plaća pojedinih službenika temeljem Uredbe o nazivima radnih mjesta, uvjetima za raspored i koeficijentima za obračun plaće u državnoj službi koja je stupila </w:t>
      </w:r>
      <w:r w:rsidR="00D6201A">
        <w:rPr>
          <w:sz w:val="24"/>
          <w:szCs w:val="24"/>
        </w:rPr>
        <w:t>na snagu 1. ožujka 2024..</w:t>
      </w:r>
    </w:p>
    <w:p w14:paraId="0C4692D9" w14:textId="48FAD0BF" w:rsidR="006430B8" w:rsidRPr="00544779" w:rsidRDefault="006430B8" w:rsidP="00FB28BD">
      <w:pPr>
        <w:rPr>
          <w:sz w:val="24"/>
          <w:szCs w:val="24"/>
        </w:rPr>
      </w:pPr>
      <w:r w:rsidRPr="00C26B40">
        <w:rPr>
          <w:sz w:val="24"/>
          <w:szCs w:val="24"/>
        </w:rPr>
        <w:t xml:space="preserve">Materijalni rashodi </w:t>
      </w:r>
      <w:r w:rsidR="00FB28BD" w:rsidRPr="00C26B40">
        <w:rPr>
          <w:sz w:val="24"/>
          <w:szCs w:val="24"/>
        </w:rPr>
        <w:t>u tekućem planu za 2024</w:t>
      </w:r>
      <w:r w:rsidR="00022EA6" w:rsidRPr="00C26B40">
        <w:rPr>
          <w:sz w:val="24"/>
          <w:szCs w:val="24"/>
        </w:rPr>
        <w:t>.</w:t>
      </w:r>
      <w:r w:rsidR="001221EA" w:rsidRPr="00C26B40">
        <w:rPr>
          <w:sz w:val="24"/>
          <w:szCs w:val="24"/>
        </w:rPr>
        <w:t xml:space="preserve"> iskazani su </w:t>
      </w:r>
      <w:r w:rsidRPr="00C26B40">
        <w:rPr>
          <w:sz w:val="24"/>
          <w:szCs w:val="24"/>
        </w:rPr>
        <w:t xml:space="preserve">u iznosu od </w:t>
      </w:r>
      <w:r w:rsidR="00FB28BD" w:rsidRPr="00C26B40">
        <w:rPr>
          <w:sz w:val="24"/>
          <w:szCs w:val="24"/>
        </w:rPr>
        <w:t xml:space="preserve">6.790.157,00 </w:t>
      </w:r>
      <w:r w:rsidR="00D6201A">
        <w:rPr>
          <w:sz w:val="24"/>
          <w:szCs w:val="24"/>
        </w:rPr>
        <w:t>eura</w:t>
      </w:r>
      <w:r w:rsidRPr="00C26B40">
        <w:rPr>
          <w:sz w:val="24"/>
          <w:szCs w:val="24"/>
        </w:rPr>
        <w:t xml:space="preserve"> dok je utrošeno </w:t>
      </w:r>
      <w:r w:rsidR="00FB28BD" w:rsidRPr="00C26B40">
        <w:rPr>
          <w:sz w:val="24"/>
          <w:szCs w:val="24"/>
        </w:rPr>
        <w:t xml:space="preserve">6.254.251,93 </w:t>
      </w:r>
      <w:r w:rsidR="00D6201A">
        <w:rPr>
          <w:sz w:val="24"/>
          <w:szCs w:val="24"/>
        </w:rPr>
        <w:t>eura</w:t>
      </w:r>
      <w:r w:rsidRPr="00C26B40">
        <w:rPr>
          <w:sz w:val="24"/>
          <w:szCs w:val="24"/>
        </w:rPr>
        <w:t xml:space="preserve"> odnosno </w:t>
      </w:r>
      <w:r w:rsidR="00FB28BD" w:rsidRPr="00C26B40">
        <w:rPr>
          <w:sz w:val="24"/>
          <w:szCs w:val="24"/>
        </w:rPr>
        <w:t>92,11</w:t>
      </w:r>
      <w:r w:rsidRPr="00C26B40">
        <w:rPr>
          <w:sz w:val="24"/>
          <w:szCs w:val="24"/>
        </w:rPr>
        <w:t xml:space="preserve">%. Najveća stavka u materijalnim rashodima su troškovi </w:t>
      </w:r>
      <w:r w:rsidR="00C26B40">
        <w:rPr>
          <w:sz w:val="24"/>
          <w:szCs w:val="24"/>
        </w:rPr>
        <w:t>računalnih</w:t>
      </w:r>
      <w:r w:rsidRPr="00C26B40">
        <w:rPr>
          <w:sz w:val="24"/>
          <w:szCs w:val="24"/>
        </w:rPr>
        <w:t xml:space="preserve"> usluge u iznosu od </w:t>
      </w:r>
      <w:r w:rsidR="00C229F2" w:rsidRPr="00C26B40">
        <w:rPr>
          <w:sz w:val="24"/>
          <w:szCs w:val="24"/>
        </w:rPr>
        <w:t xml:space="preserve">3.087.398,98 </w:t>
      </w:r>
      <w:r w:rsidR="00D6201A">
        <w:rPr>
          <w:sz w:val="24"/>
          <w:szCs w:val="24"/>
        </w:rPr>
        <w:t>eura</w:t>
      </w:r>
      <w:r w:rsidR="00C229F2" w:rsidRPr="00C26B40">
        <w:rPr>
          <w:sz w:val="24"/>
          <w:szCs w:val="24"/>
        </w:rPr>
        <w:t xml:space="preserve">, te ostale usluge u iznosu od 1.762.644,82 </w:t>
      </w:r>
      <w:r w:rsidR="00D6201A">
        <w:rPr>
          <w:sz w:val="24"/>
          <w:szCs w:val="24"/>
        </w:rPr>
        <w:t>eura</w:t>
      </w:r>
      <w:r w:rsidR="00C229F2" w:rsidRPr="00C26B40">
        <w:rPr>
          <w:sz w:val="24"/>
          <w:szCs w:val="24"/>
        </w:rPr>
        <w:t>. Isti se najvećim dijelom odnose na usluge povezane sa provedbom izbora zastupnika u Hrvatski sabor, izbora članova u Europski parlament iz Republike Hrvatske te izbora za predsjednika Republike Hrvatske (I. krug)</w:t>
      </w:r>
      <w:r w:rsidRPr="00C26B40">
        <w:rPr>
          <w:sz w:val="24"/>
          <w:szCs w:val="24"/>
        </w:rPr>
        <w:t xml:space="preserve"> za koje Državno izbor</w:t>
      </w:r>
      <w:r w:rsidR="00C229F2" w:rsidRPr="00C26B40">
        <w:rPr>
          <w:sz w:val="24"/>
          <w:szCs w:val="24"/>
        </w:rPr>
        <w:t xml:space="preserve">no povjerenstvo u cijelosti planira i podmiruje troškove. Najznačajniji troškovi odnose se </w:t>
      </w:r>
      <w:r w:rsidR="00C26B40" w:rsidRPr="00C26B40">
        <w:rPr>
          <w:sz w:val="24"/>
          <w:szCs w:val="24"/>
        </w:rPr>
        <w:t xml:space="preserve">na trošak </w:t>
      </w:r>
      <w:r w:rsidRPr="00C26B40">
        <w:rPr>
          <w:sz w:val="24"/>
          <w:szCs w:val="24"/>
        </w:rPr>
        <w:t>informatičke podrške</w:t>
      </w:r>
      <w:r w:rsidR="00C26B40">
        <w:rPr>
          <w:sz w:val="24"/>
          <w:szCs w:val="24"/>
        </w:rPr>
        <w:t xml:space="preserve">, </w:t>
      </w:r>
      <w:r w:rsidR="00C26B40" w:rsidRPr="00C26B40">
        <w:rPr>
          <w:sz w:val="24"/>
          <w:szCs w:val="24"/>
        </w:rPr>
        <w:t>trošak tiska i distribucije glasačkih materijala</w:t>
      </w:r>
      <w:r w:rsidR="00544779">
        <w:rPr>
          <w:sz w:val="24"/>
          <w:szCs w:val="24"/>
        </w:rPr>
        <w:t>, trošak</w:t>
      </w:r>
      <w:r w:rsidR="00C26B40">
        <w:rPr>
          <w:sz w:val="24"/>
          <w:szCs w:val="24"/>
        </w:rPr>
        <w:t xml:space="preserve"> promidžbe i inforim</w:t>
      </w:r>
      <w:r w:rsidR="00502C07">
        <w:rPr>
          <w:sz w:val="24"/>
          <w:szCs w:val="24"/>
        </w:rPr>
        <w:t>i</w:t>
      </w:r>
      <w:r w:rsidR="00C26B40">
        <w:rPr>
          <w:sz w:val="24"/>
          <w:szCs w:val="24"/>
        </w:rPr>
        <w:t>ranja</w:t>
      </w:r>
      <w:r w:rsidR="00F200AF">
        <w:rPr>
          <w:sz w:val="24"/>
          <w:szCs w:val="24"/>
        </w:rPr>
        <w:t xml:space="preserve"> te</w:t>
      </w:r>
      <w:r w:rsidR="00544779">
        <w:rPr>
          <w:sz w:val="24"/>
          <w:szCs w:val="24"/>
        </w:rPr>
        <w:t xml:space="preserve"> </w:t>
      </w:r>
      <w:r w:rsidR="00544779" w:rsidRPr="00544779">
        <w:rPr>
          <w:sz w:val="24"/>
          <w:szCs w:val="24"/>
        </w:rPr>
        <w:t>intelektualne usluge</w:t>
      </w:r>
      <w:r w:rsidR="00C26B40" w:rsidRPr="00544779">
        <w:rPr>
          <w:sz w:val="24"/>
          <w:szCs w:val="24"/>
        </w:rPr>
        <w:t>.</w:t>
      </w:r>
    </w:p>
    <w:p w14:paraId="3CC14694" w14:textId="43CBC876" w:rsidR="00544779" w:rsidRDefault="00544779" w:rsidP="00544779">
      <w:pPr>
        <w:rPr>
          <w:sz w:val="24"/>
          <w:szCs w:val="24"/>
        </w:rPr>
      </w:pPr>
      <w:r w:rsidRPr="00544779">
        <w:rPr>
          <w:sz w:val="24"/>
          <w:szCs w:val="24"/>
        </w:rPr>
        <w:t>Pomoći dane u inozemstvo i untar općeg proračuna u cijelosti se odnose na tekuće pomo</w:t>
      </w:r>
      <w:r w:rsidR="00F200AF">
        <w:rPr>
          <w:sz w:val="24"/>
          <w:szCs w:val="24"/>
        </w:rPr>
        <w:t>ći unutar općeg proračuna – žup</w:t>
      </w:r>
      <w:r w:rsidRPr="00544779">
        <w:rPr>
          <w:sz w:val="24"/>
          <w:szCs w:val="24"/>
        </w:rPr>
        <w:t>anijskim proračunima</w:t>
      </w:r>
      <w:r>
        <w:rPr>
          <w:sz w:val="24"/>
          <w:szCs w:val="24"/>
        </w:rPr>
        <w:t xml:space="preserve"> za pokriće provedbe troškova n</w:t>
      </w:r>
      <w:r w:rsidRPr="00544779">
        <w:rPr>
          <w:sz w:val="24"/>
          <w:szCs w:val="24"/>
        </w:rPr>
        <w:t>a</w:t>
      </w:r>
      <w:r>
        <w:rPr>
          <w:sz w:val="24"/>
          <w:szCs w:val="24"/>
        </w:rPr>
        <w:t xml:space="preserve"> d</w:t>
      </w:r>
      <w:r w:rsidRPr="00544779">
        <w:rPr>
          <w:sz w:val="24"/>
          <w:szCs w:val="24"/>
        </w:rPr>
        <w:t>ržavnoj razini za isplatu naknada za rad u gradskim, općinskim te županijskim izbornim povjerenstvima odnosno povjerenstvima izbornih jedinica, naknade za rad u biračkim odborima, naknade za rad osobama angažiranim za rad u stručnim timovima, te za materijalne troškove provedbe izbora na biračkim mjestima u Republici Hrvatskoj.</w:t>
      </w:r>
      <w:r>
        <w:rPr>
          <w:sz w:val="24"/>
          <w:szCs w:val="24"/>
        </w:rPr>
        <w:t xml:space="preserve"> U tekućem planu za 2024. iskazani su u iznosu od 20.966.909,00 </w:t>
      </w:r>
      <w:r w:rsidR="00D6201A">
        <w:rPr>
          <w:sz w:val="24"/>
          <w:szCs w:val="24"/>
        </w:rPr>
        <w:t>eura</w:t>
      </w:r>
      <w:r w:rsidR="00D732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dok je utrošeno 20.912.799,18 </w:t>
      </w:r>
      <w:r w:rsidR="00D6201A">
        <w:rPr>
          <w:sz w:val="24"/>
          <w:szCs w:val="24"/>
        </w:rPr>
        <w:t>eura</w:t>
      </w:r>
      <w:r w:rsidR="00D73289">
        <w:rPr>
          <w:sz w:val="24"/>
          <w:szCs w:val="24"/>
        </w:rPr>
        <w:t xml:space="preserve"> odnosno </w:t>
      </w:r>
      <w:r>
        <w:rPr>
          <w:sz w:val="24"/>
          <w:szCs w:val="24"/>
        </w:rPr>
        <w:t>99,74%.</w:t>
      </w:r>
    </w:p>
    <w:p w14:paraId="0E4CDC8F" w14:textId="2E3360BD" w:rsidR="00544779" w:rsidRDefault="00544779" w:rsidP="00544779">
      <w:pPr>
        <w:rPr>
          <w:sz w:val="24"/>
          <w:szCs w:val="24"/>
        </w:rPr>
      </w:pPr>
      <w:r>
        <w:rPr>
          <w:sz w:val="24"/>
          <w:szCs w:val="24"/>
        </w:rPr>
        <w:t>Tekuće donacije u novcu odnose se</w:t>
      </w:r>
      <w:r w:rsidR="00F200AF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</w:t>
      </w:r>
      <w:r w:rsidRPr="006831C7">
        <w:rPr>
          <w:sz w:val="24"/>
          <w:szCs w:val="24"/>
        </w:rPr>
        <w:t xml:space="preserve">obvezu temeljem odluka koje donosi Vlada Republike Hrvatske sukladno važećim zakonskim propisima i to: </w:t>
      </w:r>
      <w:r w:rsidRPr="006831C7">
        <w:rPr>
          <w:sz w:val="24"/>
          <w:szCs w:val="24"/>
          <w:lang w:eastAsia="hr-HR"/>
        </w:rPr>
        <w:t>Odluke o visini naknade troškova izborne promidžbe za izbor zastupnika u Hrvatski sabor te Odluke o visini naknade troškova izborne promidžbe za izbor članova u Europski parlament iz Republike Hrvatske</w:t>
      </w:r>
      <w:r>
        <w:rPr>
          <w:sz w:val="24"/>
          <w:szCs w:val="24"/>
          <w:lang w:eastAsia="hr-HR"/>
        </w:rPr>
        <w:t xml:space="preserve">. </w:t>
      </w:r>
      <w:r>
        <w:rPr>
          <w:sz w:val="24"/>
          <w:szCs w:val="24"/>
        </w:rPr>
        <w:t xml:space="preserve">U tekućem planu za 2024. godini ti troškovi iskazani su u iznosu od </w:t>
      </w:r>
      <w:r w:rsidR="00D73289">
        <w:rPr>
          <w:sz w:val="24"/>
          <w:szCs w:val="24"/>
        </w:rPr>
        <w:t xml:space="preserve">2.865.000,00 </w:t>
      </w:r>
      <w:r w:rsidR="00D6201A">
        <w:rPr>
          <w:sz w:val="24"/>
          <w:szCs w:val="24"/>
        </w:rPr>
        <w:t>eura</w:t>
      </w:r>
      <w:r>
        <w:rPr>
          <w:sz w:val="24"/>
          <w:szCs w:val="24"/>
        </w:rPr>
        <w:t xml:space="preserve"> dok je utrošeno </w:t>
      </w:r>
      <w:r w:rsidR="00D73289">
        <w:rPr>
          <w:sz w:val="24"/>
          <w:szCs w:val="24"/>
        </w:rPr>
        <w:t xml:space="preserve">2.864.112,44 </w:t>
      </w:r>
      <w:r w:rsidR="00D6201A">
        <w:rPr>
          <w:sz w:val="24"/>
          <w:szCs w:val="24"/>
        </w:rPr>
        <w:t>eura</w:t>
      </w:r>
      <w:r w:rsidR="00D73289">
        <w:rPr>
          <w:sz w:val="24"/>
          <w:szCs w:val="24"/>
        </w:rPr>
        <w:t xml:space="preserve"> odnosno 99,97</w:t>
      </w:r>
      <w:r>
        <w:rPr>
          <w:sz w:val="24"/>
          <w:szCs w:val="24"/>
        </w:rPr>
        <w:t>%.</w:t>
      </w:r>
    </w:p>
    <w:p w14:paraId="5C33C06E" w14:textId="17D21F21" w:rsidR="006430B8" w:rsidRDefault="006430B8" w:rsidP="00544779">
      <w:pPr>
        <w:rPr>
          <w:sz w:val="24"/>
          <w:szCs w:val="24"/>
        </w:rPr>
      </w:pPr>
      <w:r>
        <w:rPr>
          <w:sz w:val="24"/>
          <w:szCs w:val="24"/>
        </w:rPr>
        <w:t xml:space="preserve">Kapitalni izdaci odnosno rashodi za nabavu dugotrajne neproizvedene imovine </w:t>
      </w:r>
      <w:r w:rsidR="001221EA">
        <w:rPr>
          <w:sz w:val="24"/>
          <w:szCs w:val="24"/>
        </w:rPr>
        <w:t>iskazani su u tekućem planu 202</w:t>
      </w:r>
      <w:r w:rsidR="00D73289">
        <w:rPr>
          <w:sz w:val="24"/>
          <w:szCs w:val="24"/>
        </w:rPr>
        <w:t>4</w:t>
      </w:r>
      <w:r w:rsidR="001221EA">
        <w:rPr>
          <w:sz w:val="24"/>
          <w:szCs w:val="24"/>
        </w:rPr>
        <w:t xml:space="preserve">. u </w:t>
      </w:r>
      <w:r>
        <w:rPr>
          <w:sz w:val="24"/>
          <w:szCs w:val="24"/>
        </w:rPr>
        <w:t xml:space="preserve">iznosu </w:t>
      </w:r>
      <w:r w:rsidR="00D73289">
        <w:rPr>
          <w:sz w:val="24"/>
          <w:szCs w:val="24"/>
        </w:rPr>
        <w:t>od 47.420,00</w:t>
      </w:r>
      <w:r>
        <w:rPr>
          <w:sz w:val="24"/>
          <w:szCs w:val="24"/>
        </w:rPr>
        <w:t xml:space="preserve"> </w:t>
      </w:r>
      <w:r w:rsidR="00D6201A">
        <w:rPr>
          <w:sz w:val="24"/>
          <w:szCs w:val="24"/>
        </w:rPr>
        <w:t>eura</w:t>
      </w:r>
      <w:r>
        <w:rPr>
          <w:sz w:val="24"/>
          <w:szCs w:val="24"/>
        </w:rPr>
        <w:t xml:space="preserve"> te je utrošeno </w:t>
      </w:r>
      <w:r w:rsidR="00D73289">
        <w:rPr>
          <w:sz w:val="24"/>
          <w:szCs w:val="24"/>
        </w:rPr>
        <w:t>30.793,93</w:t>
      </w:r>
      <w:r>
        <w:rPr>
          <w:sz w:val="24"/>
          <w:szCs w:val="24"/>
        </w:rPr>
        <w:t xml:space="preserve"> </w:t>
      </w:r>
      <w:r w:rsidR="00D6201A">
        <w:rPr>
          <w:sz w:val="24"/>
          <w:szCs w:val="24"/>
        </w:rPr>
        <w:t>eura</w:t>
      </w:r>
      <w:r w:rsidR="00D73289">
        <w:rPr>
          <w:sz w:val="24"/>
          <w:szCs w:val="24"/>
        </w:rPr>
        <w:t xml:space="preserve"> što čini 64,94%</w:t>
      </w:r>
      <w:r>
        <w:rPr>
          <w:sz w:val="24"/>
          <w:szCs w:val="24"/>
        </w:rPr>
        <w:t xml:space="preserve">. Sredstva su utrošena na nabavu nove </w:t>
      </w:r>
      <w:r w:rsidR="00D73289">
        <w:rPr>
          <w:sz w:val="24"/>
          <w:szCs w:val="24"/>
        </w:rPr>
        <w:t>uredske opreme i komunikacijske opreme.</w:t>
      </w:r>
    </w:p>
    <w:p w14:paraId="2A3BEC8A" w14:textId="6FE96A55" w:rsidR="00CF3C15" w:rsidRDefault="006430B8" w:rsidP="00CF3C15">
      <w:pPr>
        <w:rPr>
          <w:sz w:val="24"/>
          <w:szCs w:val="24"/>
        </w:rPr>
      </w:pPr>
      <w:r w:rsidRPr="00CF3C15">
        <w:rPr>
          <w:sz w:val="24"/>
          <w:szCs w:val="24"/>
        </w:rPr>
        <w:t>Ukupni rashodi za razdoblje od 1.1.</w:t>
      </w:r>
      <w:r w:rsidR="00CE00C2" w:rsidRPr="00CF3C15">
        <w:rPr>
          <w:sz w:val="24"/>
          <w:szCs w:val="24"/>
        </w:rPr>
        <w:t xml:space="preserve"> - </w:t>
      </w:r>
      <w:r w:rsidR="001221EA" w:rsidRPr="00CF3C15">
        <w:rPr>
          <w:sz w:val="24"/>
          <w:szCs w:val="24"/>
        </w:rPr>
        <w:t>31.12</w:t>
      </w:r>
      <w:r w:rsidRPr="00CF3C15">
        <w:rPr>
          <w:sz w:val="24"/>
          <w:szCs w:val="24"/>
        </w:rPr>
        <w:t>.202</w:t>
      </w:r>
      <w:r w:rsidR="00D73289" w:rsidRPr="00CF3C15">
        <w:rPr>
          <w:sz w:val="24"/>
          <w:szCs w:val="24"/>
        </w:rPr>
        <w:t>4</w:t>
      </w:r>
      <w:r w:rsidRPr="00CF3C15">
        <w:rPr>
          <w:sz w:val="24"/>
          <w:szCs w:val="24"/>
        </w:rPr>
        <w:t>.</w:t>
      </w:r>
      <w:r w:rsidR="00CF3C15" w:rsidRPr="00CF3C15">
        <w:rPr>
          <w:sz w:val="24"/>
          <w:szCs w:val="24"/>
        </w:rPr>
        <w:t xml:space="preserve"> su</w:t>
      </w:r>
      <w:r w:rsidRPr="00CF3C15">
        <w:rPr>
          <w:sz w:val="24"/>
          <w:szCs w:val="24"/>
        </w:rPr>
        <w:t xml:space="preserve"> u odnosu na isto izvještajno razdoblje </w:t>
      </w:r>
      <w:r w:rsidR="001221EA" w:rsidRPr="00CF3C15">
        <w:rPr>
          <w:sz w:val="24"/>
          <w:szCs w:val="24"/>
        </w:rPr>
        <w:t xml:space="preserve">prethodne godine </w:t>
      </w:r>
      <w:r w:rsidR="00D73289" w:rsidRPr="00CF3C15">
        <w:rPr>
          <w:sz w:val="24"/>
          <w:szCs w:val="24"/>
        </w:rPr>
        <w:t xml:space="preserve">značajno porasli. </w:t>
      </w:r>
      <w:r w:rsidR="00736AE7" w:rsidRPr="00CF3C15">
        <w:rPr>
          <w:sz w:val="24"/>
          <w:szCs w:val="24"/>
        </w:rPr>
        <w:t>R</w:t>
      </w:r>
      <w:r w:rsidR="00D73289" w:rsidRPr="00CF3C15">
        <w:rPr>
          <w:sz w:val="24"/>
          <w:szCs w:val="24"/>
        </w:rPr>
        <w:t xml:space="preserve">azlog </w:t>
      </w:r>
      <w:r w:rsidR="00CF3C15" w:rsidRPr="00CF3C15">
        <w:rPr>
          <w:sz w:val="24"/>
          <w:szCs w:val="24"/>
        </w:rPr>
        <w:t xml:space="preserve">takvog velikog </w:t>
      </w:r>
      <w:r w:rsidR="00D73289" w:rsidRPr="00CF3C15">
        <w:rPr>
          <w:sz w:val="24"/>
          <w:szCs w:val="24"/>
        </w:rPr>
        <w:t>odstupanja je provedba</w:t>
      </w:r>
      <w:r w:rsidR="00F200AF">
        <w:rPr>
          <w:sz w:val="24"/>
          <w:szCs w:val="24"/>
        </w:rPr>
        <w:t xml:space="preserve"> trojih</w:t>
      </w:r>
      <w:r w:rsidR="00CF3C15" w:rsidRPr="00CF3C15">
        <w:rPr>
          <w:sz w:val="24"/>
          <w:szCs w:val="24"/>
        </w:rPr>
        <w:t xml:space="preserve"> izbora na državnoj razini (izbora zastupnika u Hrvatski sabor, izbora članova u Europski parlament iz </w:t>
      </w:r>
      <w:r w:rsidR="00CF3C15" w:rsidRPr="00CF3C15">
        <w:rPr>
          <w:sz w:val="24"/>
          <w:szCs w:val="24"/>
        </w:rPr>
        <w:lastRenderedPageBreak/>
        <w:t>Republike Hrvatske te izbora za predsjednika Republike Hrvatske -</w:t>
      </w:r>
      <w:r w:rsidR="00A62D6C">
        <w:rPr>
          <w:sz w:val="24"/>
          <w:szCs w:val="24"/>
        </w:rPr>
        <w:t xml:space="preserve"> </w:t>
      </w:r>
      <w:r w:rsidR="00CF3C15" w:rsidRPr="00CF3C15">
        <w:rPr>
          <w:sz w:val="24"/>
          <w:szCs w:val="24"/>
        </w:rPr>
        <w:t>I. krug)</w:t>
      </w:r>
      <w:r w:rsidR="00736AE7" w:rsidRPr="00CF3C15">
        <w:rPr>
          <w:sz w:val="24"/>
          <w:szCs w:val="24"/>
        </w:rPr>
        <w:t xml:space="preserve"> </w:t>
      </w:r>
      <w:r w:rsidR="00CF3C15" w:rsidRPr="00CF3C15">
        <w:rPr>
          <w:sz w:val="24"/>
          <w:szCs w:val="24"/>
        </w:rPr>
        <w:t>za čiju se provedbu svi troškovi osiguravaju u proračunu Državnog izbornog povjerenstva.</w:t>
      </w:r>
    </w:p>
    <w:p w14:paraId="2AFDF230" w14:textId="77777777" w:rsidR="00C36B2D" w:rsidRDefault="00C36B2D"/>
    <w:p w14:paraId="6B40D8BA" w14:textId="77777777" w:rsidR="004C18BA" w:rsidRDefault="004C18BA" w:rsidP="004C18BA">
      <w:pPr>
        <w:rPr>
          <w:sz w:val="24"/>
          <w:szCs w:val="24"/>
        </w:rPr>
      </w:pPr>
      <w:r>
        <w:rPr>
          <w:sz w:val="24"/>
          <w:szCs w:val="24"/>
        </w:rPr>
        <w:t>STANJE NOVČANIH SREDSTAVA NA RAČUNIMA</w:t>
      </w:r>
    </w:p>
    <w:tbl>
      <w:tblPr>
        <w:tblW w:w="8564" w:type="dxa"/>
        <w:tblLook w:val="04A0" w:firstRow="1" w:lastRow="0" w:firstColumn="1" w:lastColumn="0" w:noHBand="0" w:noVBand="1"/>
      </w:tblPr>
      <w:tblGrid>
        <w:gridCol w:w="740"/>
        <w:gridCol w:w="4784"/>
        <w:gridCol w:w="1520"/>
        <w:gridCol w:w="1520"/>
      </w:tblGrid>
      <w:tr w:rsidR="004C18BA" w:rsidRPr="00CE4D35" w14:paraId="5CFBE895" w14:textId="77777777" w:rsidTr="004C18BA">
        <w:trPr>
          <w:trHeight w:val="433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C747BD" w14:textId="77777777" w:rsidR="004C18BA" w:rsidRPr="00CE4D35" w:rsidRDefault="004C18BA" w:rsidP="004C18B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/>
                <w:sz w:val="20"/>
                <w:lang w:val="hr-HR" w:eastAsia="hr-HR"/>
              </w:rPr>
            </w:pPr>
            <w:r w:rsidRPr="00CE4D35">
              <w:rPr>
                <w:b/>
                <w:bCs/>
                <w:color w:val="000000"/>
                <w:sz w:val="20"/>
                <w:lang w:val="hr-HR" w:eastAsia="hr-HR"/>
              </w:rPr>
              <w:t>Redni broj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17F45A" w14:textId="77777777" w:rsidR="004C18BA" w:rsidRPr="00CE4D35" w:rsidRDefault="004C18BA" w:rsidP="004C18B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/>
                <w:sz w:val="20"/>
                <w:lang w:val="hr-HR" w:eastAsia="hr-HR"/>
              </w:rPr>
            </w:pPr>
            <w:r w:rsidRPr="00CE4D35">
              <w:rPr>
                <w:b/>
                <w:bCs/>
                <w:color w:val="000000"/>
                <w:sz w:val="20"/>
                <w:lang w:val="hr-HR" w:eastAsia="hr-HR"/>
              </w:rPr>
              <w:t>Račun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06009B" w14:textId="297593C3" w:rsidR="004C18BA" w:rsidRPr="00CE4D35" w:rsidRDefault="004C18BA" w:rsidP="004C18B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/>
                <w:sz w:val="20"/>
                <w:lang w:val="hr-HR" w:eastAsia="hr-HR"/>
              </w:rPr>
            </w:pPr>
            <w:r w:rsidRPr="00CE4D35">
              <w:rPr>
                <w:b/>
                <w:bCs/>
                <w:color w:val="000000"/>
                <w:sz w:val="20"/>
                <w:lang w:val="hr-HR" w:eastAsia="hr-HR"/>
              </w:rPr>
              <w:t>Stanje na dan 1.1.202</w:t>
            </w:r>
            <w:r w:rsidR="00313891">
              <w:rPr>
                <w:b/>
                <w:bCs/>
                <w:color w:val="000000"/>
                <w:sz w:val="20"/>
                <w:lang w:val="hr-HR" w:eastAsia="hr-HR"/>
              </w:rPr>
              <w:t>4</w:t>
            </w:r>
            <w:r w:rsidRPr="00CE4D35">
              <w:rPr>
                <w:b/>
                <w:bCs/>
                <w:color w:val="000000"/>
                <w:sz w:val="20"/>
                <w:lang w:val="hr-HR" w:eastAsia="hr-HR"/>
              </w:rPr>
              <w:t>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5200F7" w14:textId="3C554387" w:rsidR="004C18BA" w:rsidRPr="00CE4D35" w:rsidRDefault="004C18BA" w:rsidP="004C18B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/>
                <w:sz w:val="20"/>
                <w:lang w:val="hr-HR" w:eastAsia="hr-HR"/>
              </w:rPr>
            </w:pPr>
            <w:r w:rsidRPr="00CE4D35">
              <w:rPr>
                <w:b/>
                <w:bCs/>
                <w:color w:val="000000"/>
                <w:sz w:val="20"/>
                <w:lang w:val="hr-HR" w:eastAsia="hr-HR"/>
              </w:rPr>
              <w:t>Stanje na dan 31.12.202</w:t>
            </w:r>
            <w:r w:rsidR="00313891">
              <w:rPr>
                <w:b/>
                <w:bCs/>
                <w:color w:val="000000"/>
                <w:sz w:val="20"/>
                <w:lang w:val="hr-HR" w:eastAsia="hr-HR"/>
              </w:rPr>
              <w:t>4</w:t>
            </w:r>
            <w:r w:rsidRPr="00CE4D35">
              <w:rPr>
                <w:b/>
                <w:bCs/>
                <w:color w:val="000000"/>
                <w:sz w:val="20"/>
                <w:lang w:val="hr-HR" w:eastAsia="hr-HR"/>
              </w:rPr>
              <w:t>.</w:t>
            </w:r>
          </w:p>
        </w:tc>
      </w:tr>
      <w:tr w:rsidR="004C18BA" w:rsidRPr="004C18BA" w14:paraId="2733B86B" w14:textId="77777777" w:rsidTr="004C18BA">
        <w:trPr>
          <w:trHeight w:val="433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88B3" w14:textId="77777777" w:rsidR="004C18BA" w:rsidRPr="004C18BA" w:rsidRDefault="004C18BA" w:rsidP="004C18BA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bCs/>
                <w:color w:val="000000"/>
                <w:szCs w:val="22"/>
                <w:lang w:val="hr-HR" w:eastAsia="hr-HR"/>
              </w:rPr>
            </w:pP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1C6F" w14:textId="77777777" w:rsidR="004C18BA" w:rsidRPr="004C18BA" w:rsidRDefault="004C18BA" w:rsidP="004C18BA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bCs/>
                <w:color w:val="000000"/>
                <w:szCs w:val="22"/>
                <w:lang w:val="hr-HR" w:eastAsia="hr-HR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AD42" w14:textId="77777777" w:rsidR="004C18BA" w:rsidRPr="004C18BA" w:rsidRDefault="004C18BA" w:rsidP="004C18BA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bCs/>
                <w:color w:val="000000"/>
                <w:szCs w:val="22"/>
                <w:lang w:val="hr-HR" w:eastAsia="hr-HR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9C22" w14:textId="77777777" w:rsidR="004C18BA" w:rsidRPr="004C18BA" w:rsidRDefault="004C18BA" w:rsidP="004C18BA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b/>
                <w:bCs/>
                <w:color w:val="000000"/>
                <w:szCs w:val="22"/>
                <w:lang w:val="hr-HR" w:eastAsia="hr-HR"/>
              </w:rPr>
            </w:pPr>
          </w:p>
        </w:tc>
      </w:tr>
      <w:tr w:rsidR="004C18BA" w:rsidRPr="00CE4D35" w14:paraId="02749D5E" w14:textId="77777777" w:rsidTr="004C18BA">
        <w:trPr>
          <w:trHeight w:val="2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36A236" w14:textId="77777777" w:rsidR="004C18BA" w:rsidRPr="00CE4D35" w:rsidRDefault="004C18BA" w:rsidP="004C18B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 w:val="18"/>
                <w:szCs w:val="18"/>
                <w:lang w:val="hr-HR" w:eastAsia="hr-HR"/>
              </w:rPr>
            </w:pPr>
            <w:r w:rsidRPr="00CE4D35">
              <w:rPr>
                <w:color w:val="000000"/>
                <w:sz w:val="18"/>
                <w:szCs w:val="18"/>
                <w:lang w:val="hr-HR" w:eastAsia="hr-HR"/>
              </w:rPr>
              <w:t>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F9B413" w14:textId="77777777" w:rsidR="004C18BA" w:rsidRPr="00CE4D35" w:rsidRDefault="004C18BA" w:rsidP="004C18B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 w:val="18"/>
                <w:szCs w:val="18"/>
                <w:lang w:val="hr-HR" w:eastAsia="hr-HR"/>
              </w:rPr>
            </w:pPr>
            <w:r w:rsidRPr="00CE4D35">
              <w:rPr>
                <w:color w:val="000000"/>
                <w:sz w:val="18"/>
                <w:szCs w:val="18"/>
                <w:lang w:val="hr-HR" w:eastAsia="hr-H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7E4187" w14:textId="77777777" w:rsidR="004C18BA" w:rsidRPr="00CE4D35" w:rsidRDefault="004C18BA" w:rsidP="004C18B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 w:val="18"/>
                <w:szCs w:val="18"/>
                <w:lang w:val="hr-HR" w:eastAsia="hr-HR"/>
              </w:rPr>
            </w:pPr>
            <w:r w:rsidRPr="00CE4D35">
              <w:rPr>
                <w:color w:val="000000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CA49EFF" w14:textId="77777777" w:rsidR="004C18BA" w:rsidRPr="00CE4D35" w:rsidRDefault="004C18BA" w:rsidP="004C18B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 w:val="18"/>
                <w:szCs w:val="18"/>
                <w:lang w:val="hr-HR" w:eastAsia="hr-HR"/>
              </w:rPr>
            </w:pPr>
            <w:r w:rsidRPr="00CE4D35">
              <w:rPr>
                <w:color w:val="000000"/>
                <w:sz w:val="18"/>
                <w:szCs w:val="18"/>
                <w:lang w:val="hr-HR" w:eastAsia="hr-HR"/>
              </w:rPr>
              <w:t>4</w:t>
            </w:r>
          </w:p>
        </w:tc>
      </w:tr>
      <w:tr w:rsidR="004C18BA" w:rsidRPr="004C18BA" w14:paraId="3E1F8B91" w14:textId="77777777" w:rsidTr="004C18B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D505" w14:textId="77777777" w:rsidR="004C18BA" w:rsidRPr="004C18BA" w:rsidRDefault="004C18BA" w:rsidP="004C18B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  <w:r w:rsidRPr="004C18BA">
              <w:rPr>
                <w:color w:val="000000"/>
                <w:szCs w:val="22"/>
                <w:lang w:val="hr-HR" w:eastAsia="hr-HR"/>
              </w:rPr>
              <w:t>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11AA" w14:textId="77777777" w:rsidR="004C18BA" w:rsidRPr="004C18BA" w:rsidRDefault="004C18BA" w:rsidP="004C18BA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color w:val="000000"/>
                <w:szCs w:val="22"/>
                <w:lang w:val="hr-HR" w:eastAsia="hr-HR"/>
              </w:rPr>
            </w:pPr>
            <w:r w:rsidRPr="004C18BA">
              <w:rPr>
                <w:color w:val="000000"/>
                <w:szCs w:val="22"/>
                <w:lang w:val="hr-HR" w:eastAsia="hr-HR"/>
              </w:rPr>
              <w:t>HR1410010051563101150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6001" w14:textId="77777777" w:rsidR="004C18BA" w:rsidRPr="004C18BA" w:rsidRDefault="004C18BA" w:rsidP="004C18BA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Cs w:val="22"/>
                <w:lang w:val="hr-HR" w:eastAsia="hr-HR"/>
              </w:rPr>
            </w:pPr>
            <w:r w:rsidRPr="004C18BA">
              <w:rPr>
                <w:color w:val="000000"/>
                <w:szCs w:val="22"/>
                <w:lang w:val="hr-HR"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D782" w14:textId="77777777" w:rsidR="004C18BA" w:rsidRPr="004C18BA" w:rsidRDefault="004C18BA" w:rsidP="004C18BA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Cs w:val="22"/>
                <w:lang w:val="hr-HR" w:eastAsia="hr-HR"/>
              </w:rPr>
            </w:pPr>
            <w:r w:rsidRPr="004C18BA">
              <w:rPr>
                <w:color w:val="000000"/>
                <w:szCs w:val="22"/>
                <w:lang w:val="hr-HR" w:eastAsia="hr-HR"/>
              </w:rPr>
              <w:t>0,00</w:t>
            </w:r>
          </w:p>
        </w:tc>
      </w:tr>
      <w:tr w:rsidR="004C18BA" w:rsidRPr="004C18BA" w14:paraId="4B2CCA25" w14:textId="77777777" w:rsidTr="004C18B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FE89" w14:textId="77777777" w:rsidR="004C18BA" w:rsidRPr="004C18BA" w:rsidRDefault="004C18BA" w:rsidP="004C18B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  <w:lang w:val="hr-HR" w:eastAsia="hr-HR"/>
              </w:rPr>
            </w:pPr>
            <w:r w:rsidRPr="004C18BA">
              <w:rPr>
                <w:color w:val="000000"/>
                <w:szCs w:val="22"/>
                <w:lang w:val="hr-HR" w:eastAsia="hr-HR"/>
              </w:rPr>
              <w:t>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A4D6" w14:textId="77777777" w:rsidR="004C18BA" w:rsidRPr="004C18BA" w:rsidRDefault="004C18BA" w:rsidP="004C18BA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color w:val="000000"/>
                <w:szCs w:val="22"/>
                <w:lang w:val="hr-HR" w:eastAsia="hr-HR"/>
              </w:rPr>
            </w:pPr>
            <w:r w:rsidRPr="004C18BA">
              <w:rPr>
                <w:color w:val="000000"/>
                <w:szCs w:val="22"/>
                <w:lang w:val="hr-HR" w:eastAsia="hr-HR"/>
              </w:rPr>
              <w:t>HR9323900011018000005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8221" w14:textId="77777777" w:rsidR="004C18BA" w:rsidRPr="004C18BA" w:rsidRDefault="004C18BA" w:rsidP="004C18BA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Cs w:val="22"/>
                <w:lang w:val="hr-HR" w:eastAsia="hr-HR"/>
              </w:rPr>
            </w:pPr>
            <w:r w:rsidRPr="004C18BA">
              <w:rPr>
                <w:color w:val="000000"/>
                <w:szCs w:val="22"/>
                <w:lang w:val="hr-HR"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0468" w14:textId="77777777" w:rsidR="004C18BA" w:rsidRPr="004C18BA" w:rsidRDefault="004C18BA" w:rsidP="004C18BA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color w:val="000000"/>
                <w:szCs w:val="22"/>
                <w:lang w:val="hr-HR" w:eastAsia="hr-HR"/>
              </w:rPr>
            </w:pPr>
            <w:r w:rsidRPr="004C18BA">
              <w:rPr>
                <w:color w:val="000000"/>
                <w:szCs w:val="22"/>
                <w:lang w:val="hr-HR" w:eastAsia="hr-HR"/>
              </w:rPr>
              <w:t>0,00</w:t>
            </w:r>
          </w:p>
        </w:tc>
      </w:tr>
    </w:tbl>
    <w:p w14:paraId="1053C868" w14:textId="77777777" w:rsidR="004C18BA" w:rsidRDefault="004C18BA"/>
    <w:sectPr w:rsidR="004C18BA" w:rsidSect="003950D6">
      <w:footerReference w:type="default" r:id="rId7"/>
      <w:pgSz w:w="11906" w:h="16838" w:code="9"/>
      <w:pgMar w:top="1418" w:right="1418" w:bottom="1418" w:left="1418" w:header="567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B3D0F" w14:textId="77777777" w:rsidR="003D0A3A" w:rsidRDefault="003D0A3A" w:rsidP="006C5D7C">
      <w:pPr>
        <w:spacing w:after="0"/>
      </w:pPr>
      <w:r>
        <w:separator/>
      </w:r>
    </w:p>
  </w:endnote>
  <w:endnote w:type="continuationSeparator" w:id="0">
    <w:p w14:paraId="4302D12C" w14:textId="77777777" w:rsidR="003D0A3A" w:rsidRDefault="003D0A3A" w:rsidP="006C5D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5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A0671" w14:textId="64E3BA03" w:rsidR="00B03C42" w:rsidRDefault="00B03C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01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CF5E5CE" w14:textId="77777777" w:rsidR="00B03C42" w:rsidRDefault="00B03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448CD" w14:textId="77777777" w:rsidR="003D0A3A" w:rsidRDefault="003D0A3A" w:rsidP="006C5D7C">
      <w:pPr>
        <w:spacing w:after="0"/>
      </w:pPr>
      <w:r>
        <w:separator/>
      </w:r>
    </w:p>
  </w:footnote>
  <w:footnote w:type="continuationSeparator" w:id="0">
    <w:p w14:paraId="7EA7F3C2" w14:textId="77777777" w:rsidR="003D0A3A" w:rsidRDefault="003D0A3A" w:rsidP="006C5D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B8"/>
    <w:rsid w:val="00016D17"/>
    <w:rsid w:val="00022EA6"/>
    <w:rsid w:val="001221EA"/>
    <w:rsid w:val="00124AF9"/>
    <w:rsid w:val="001D6EC5"/>
    <w:rsid w:val="0020610B"/>
    <w:rsid w:val="00313891"/>
    <w:rsid w:val="003950D6"/>
    <w:rsid w:val="003D0A3A"/>
    <w:rsid w:val="003D3803"/>
    <w:rsid w:val="00485303"/>
    <w:rsid w:val="004C18BA"/>
    <w:rsid w:val="004C2F1B"/>
    <w:rsid w:val="00502C07"/>
    <w:rsid w:val="005423D0"/>
    <w:rsid w:val="00544779"/>
    <w:rsid w:val="005607E4"/>
    <w:rsid w:val="00573D1F"/>
    <w:rsid w:val="005D2653"/>
    <w:rsid w:val="00630F4C"/>
    <w:rsid w:val="006430B8"/>
    <w:rsid w:val="006A3D68"/>
    <w:rsid w:val="006C5D7C"/>
    <w:rsid w:val="00714D07"/>
    <w:rsid w:val="0072504D"/>
    <w:rsid w:val="00736AE7"/>
    <w:rsid w:val="007962DE"/>
    <w:rsid w:val="007E15F1"/>
    <w:rsid w:val="008221B1"/>
    <w:rsid w:val="0082462E"/>
    <w:rsid w:val="008D3F7F"/>
    <w:rsid w:val="008E4F3C"/>
    <w:rsid w:val="0091232B"/>
    <w:rsid w:val="00932E1A"/>
    <w:rsid w:val="0093696A"/>
    <w:rsid w:val="00A02864"/>
    <w:rsid w:val="00A62D6C"/>
    <w:rsid w:val="00AB3448"/>
    <w:rsid w:val="00B03C42"/>
    <w:rsid w:val="00C229F2"/>
    <w:rsid w:val="00C25087"/>
    <w:rsid w:val="00C26B40"/>
    <w:rsid w:val="00C36B2D"/>
    <w:rsid w:val="00C70080"/>
    <w:rsid w:val="00CE00C2"/>
    <w:rsid w:val="00CE4D35"/>
    <w:rsid w:val="00CF3C15"/>
    <w:rsid w:val="00D20C34"/>
    <w:rsid w:val="00D6201A"/>
    <w:rsid w:val="00D73289"/>
    <w:rsid w:val="00F200AF"/>
    <w:rsid w:val="00F24466"/>
    <w:rsid w:val="00F248CB"/>
    <w:rsid w:val="00F26B5A"/>
    <w:rsid w:val="00FB28BD"/>
    <w:rsid w:val="00FC32E5"/>
    <w:rsid w:val="00FC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45AA07"/>
  <w15:chartTrackingRefBased/>
  <w15:docId w15:val="{0DF62A54-D49C-4BFA-8DA1-BB7C3D64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0B8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D7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5D7C"/>
    <w:rPr>
      <w:rFonts w:ascii="Times New Roman" w:eastAsia="Times New Roman" w:hAnsi="Times New Roman" w:cs="Times New Roman"/>
      <w:szCs w:val="20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6C5D7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5D7C"/>
    <w:rPr>
      <w:rFonts w:ascii="Times New Roman" w:eastAsia="Times New Roman" w:hAnsi="Times New Roman" w:cs="Times New Roman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4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466"/>
    <w:rPr>
      <w:rFonts w:ascii="Segoe UI" w:eastAsia="Times New Roman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76EA8-4E90-474B-AD31-1C9B336E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2067</Words>
  <Characters>11787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Prskalo</dc:creator>
  <cp:keywords/>
  <dc:description/>
  <cp:lastModifiedBy>Vlatka Prskalo</cp:lastModifiedBy>
  <cp:revision>2</cp:revision>
  <cp:lastPrinted>2024-03-26T16:16:00Z</cp:lastPrinted>
  <dcterms:created xsi:type="dcterms:W3CDTF">2025-03-26T14:52:00Z</dcterms:created>
  <dcterms:modified xsi:type="dcterms:W3CDTF">2025-03-26T14:52:00Z</dcterms:modified>
</cp:coreProperties>
</file>